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BE2CA" w14:textId="65DB0D57" w:rsidR="00FE3423" w:rsidRDefault="342EF127" w:rsidP="164D103F">
      <w:pPr>
        <w:pStyle w:val="CRCoverPage"/>
        <w:tabs>
          <w:tab w:val="right" w:pos="9639"/>
          <w:tab w:val="right" w:pos="13323"/>
        </w:tabs>
        <w:spacing w:after="0"/>
        <w:rPr>
          <w:rFonts w:cs="Arial"/>
          <w:b/>
          <w:bCs/>
          <w:sz w:val="24"/>
          <w:szCs w:val="24"/>
        </w:rPr>
      </w:pPr>
      <w:bookmarkStart w:id="0" w:name="_Toc193024528"/>
      <w:r w:rsidRPr="164D103F">
        <w:rPr>
          <w:rFonts w:cs="Arial"/>
          <w:b/>
          <w:bCs/>
          <w:sz w:val="24"/>
          <w:szCs w:val="24"/>
        </w:rPr>
        <w:t>3GPP TSG-RAN WG3 Meeting #12</w:t>
      </w:r>
      <w:r w:rsidR="301BA118" w:rsidRPr="164D103F">
        <w:rPr>
          <w:rFonts w:cs="Arial"/>
          <w:b/>
          <w:bCs/>
          <w:sz w:val="24"/>
          <w:szCs w:val="24"/>
        </w:rPr>
        <w:t>9</w:t>
      </w:r>
      <w:r w:rsidR="00FE3423">
        <w:tab/>
      </w:r>
      <w:r w:rsidRPr="164D103F">
        <w:rPr>
          <w:rFonts w:cs="Arial"/>
          <w:b/>
          <w:bCs/>
          <w:sz w:val="24"/>
          <w:szCs w:val="24"/>
        </w:rPr>
        <w:t>R3-25</w:t>
      </w:r>
      <w:r w:rsidR="5F9B9808" w:rsidRPr="164D103F">
        <w:rPr>
          <w:rFonts w:cs="Arial"/>
          <w:b/>
          <w:bCs/>
          <w:sz w:val="24"/>
          <w:szCs w:val="24"/>
        </w:rPr>
        <w:t>5196</w:t>
      </w:r>
    </w:p>
    <w:p w14:paraId="6288085E" w14:textId="61E5B191" w:rsidR="00FE3423" w:rsidRPr="00736915" w:rsidRDefault="00627C1E" w:rsidP="00FE3423">
      <w:pPr>
        <w:spacing w:after="0"/>
        <w:rPr>
          <w:rFonts w:ascii="Arial" w:hAnsi="Arial" w:cs="Arial"/>
          <w:b/>
          <w:bCs/>
          <w:noProof/>
          <w:sz w:val="24"/>
          <w:szCs w:val="24"/>
        </w:rPr>
      </w:pPr>
      <w:bookmarkStart w:id="1" w:name="_Hlk103953190"/>
      <w:r w:rsidRPr="00627C1E">
        <w:rPr>
          <w:rFonts w:ascii="Arial" w:hAnsi="Arial" w:cs="Arial"/>
          <w:b/>
          <w:bCs/>
          <w:color w:val="444444"/>
          <w:sz w:val="24"/>
          <w:szCs w:val="24"/>
          <w:shd w:val="clear" w:color="auto" w:fill="FFFFFF"/>
        </w:rPr>
        <w:t>Bengaluru</w:t>
      </w:r>
      <w:r w:rsidR="00FE3423" w:rsidRPr="00C57864">
        <w:rPr>
          <w:rFonts w:ascii="Arial" w:hAnsi="Arial" w:cs="Arial"/>
          <w:b/>
          <w:bCs/>
          <w:color w:val="444444"/>
          <w:sz w:val="24"/>
          <w:szCs w:val="24"/>
          <w:shd w:val="clear" w:color="auto" w:fill="FFFFFF"/>
        </w:rPr>
        <w:t xml:space="preserve">, </w:t>
      </w:r>
      <w:r>
        <w:rPr>
          <w:rFonts w:ascii="Arial" w:hAnsi="Arial" w:cs="Arial"/>
          <w:b/>
          <w:bCs/>
          <w:color w:val="444444"/>
          <w:sz w:val="24"/>
          <w:szCs w:val="24"/>
          <w:shd w:val="clear" w:color="auto" w:fill="FFFFFF"/>
        </w:rPr>
        <w:t>IND</w:t>
      </w:r>
      <w:r w:rsidR="00FE3423" w:rsidRPr="00736915">
        <w:rPr>
          <w:rFonts w:ascii="Arial" w:hAnsi="Arial" w:cs="Arial"/>
          <w:b/>
          <w:bCs/>
          <w:noProof/>
          <w:sz w:val="24"/>
          <w:szCs w:val="24"/>
        </w:rPr>
        <w:t xml:space="preserve">, </w:t>
      </w:r>
      <w:r>
        <w:rPr>
          <w:rFonts w:ascii="Arial" w:hAnsi="Arial" w:cs="Arial"/>
          <w:b/>
          <w:bCs/>
          <w:noProof/>
          <w:sz w:val="24"/>
          <w:szCs w:val="24"/>
        </w:rPr>
        <w:t>25</w:t>
      </w:r>
      <w:r w:rsidR="00FE3423" w:rsidRPr="00736915">
        <w:rPr>
          <w:rFonts w:ascii="Arial" w:hAnsi="Arial" w:cs="Arial"/>
          <w:b/>
          <w:bCs/>
          <w:noProof/>
          <w:sz w:val="24"/>
          <w:szCs w:val="24"/>
          <w:vertAlign w:val="superscript"/>
        </w:rPr>
        <w:t>th</w:t>
      </w:r>
      <w:r w:rsidR="00FE3423" w:rsidRPr="00736915">
        <w:rPr>
          <w:rFonts w:ascii="Arial" w:hAnsi="Arial" w:cs="Arial"/>
          <w:b/>
          <w:bCs/>
          <w:noProof/>
          <w:sz w:val="24"/>
          <w:szCs w:val="24"/>
        </w:rPr>
        <w:t>–</w:t>
      </w:r>
      <w:r w:rsidR="00FE3423">
        <w:rPr>
          <w:rFonts w:ascii="Arial" w:hAnsi="Arial" w:cs="Arial"/>
          <w:b/>
          <w:bCs/>
          <w:noProof/>
          <w:sz w:val="24"/>
          <w:szCs w:val="24"/>
        </w:rPr>
        <w:t>2</w:t>
      </w:r>
      <w:r>
        <w:rPr>
          <w:rFonts w:ascii="Arial" w:hAnsi="Arial" w:cs="Arial"/>
          <w:b/>
          <w:bCs/>
          <w:noProof/>
          <w:sz w:val="24"/>
          <w:szCs w:val="24"/>
        </w:rPr>
        <w:t>9</w:t>
      </w:r>
      <w:r w:rsidR="00FE3423">
        <w:rPr>
          <w:rFonts w:ascii="Arial" w:hAnsi="Arial" w:cs="Arial"/>
          <w:b/>
          <w:bCs/>
          <w:noProof/>
          <w:sz w:val="24"/>
          <w:szCs w:val="24"/>
          <w:vertAlign w:val="superscript"/>
        </w:rPr>
        <w:t>th</w:t>
      </w:r>
      <w:r w:rsidR="00FE3423" w:rsidRPr="00736915">
        <w:rPr>
          <w:rFonts w:ascii="Arial" w:hAnsi="Arial" w:cs="Arial"/>
          <w:b/>
          <w:bCs/>
          <w:noProof/>
          <w:sz w:val="24"/>
          <w:szCs w:val="24"/>
        </w:rPr>
        <w:t xml:space="preserve"> </w:t>
      </w:r>
      <w:r>
        <w:rPr>
          <w:rFonts w:ascii="Arial" w:hAnsi="Arial" w:cs="Arial"/>
          <w:b/>
          <w:bCs/>
          <w:noProof/>
          <w:sz w:val="24"/>
          <w:szCs w:val="24"/>
        </w:rPr>
        <w:t>August</w:t>
      </w:r>
      <w:r w:rsidR="00FE3423" w:rsidRPr="00736915">
        <w:rPr>
          <w:rFonts w:ascii="Arial" w:hAnsi="Arial" w:cs="Arial"/>
          <w:b/>
          <w:bCs/>
          <w:noProof/>
          <w:sz w:val="24"/>
          <w:szCs w:val="24"/>
        </w:rPr>
        <w:t>, 202</w:t>
      </w:r>
      <w:r w:rsidR="00FE3423">
        <w:rPr>
          <w:rFonts w:ascii="Arial" w:hAnsi="Arial" w:cs="Arial"/>
          <w:b/>
          <w:bCs/>
          <w:noProof/>
          <w:sz w:val="24"/>
          <w:szCs w:val="24"/>
        </w:rPr>
        <w:t>5</w:t>
      </w:r>
    </w:p>
    <w:bookmarkEnd w:id="1"/>
    <w:p w14:paraId="17B5E5B4" w14:textId="77777777" w:rsidR="00FE3423" w:rsidRDefault="00FE3423" w:rsidP="00FE3423">
      <w:pPr>
        <w:pStyle w:val="Footer"/>
        <w:jc w:val="both"/>
        <w:rPr>
          <w:rFonts w:eastAsia="SimSun"/>
          <w:b w:val="0"/>
          <w:i w:val="0"/>
          <w:sz w:val="24"/>
          <w:lang w:eastAsia="zh-CN"/>
        </w:rPr>
      </w:pPr>
    </w:p>
    <w:p w14:paraId="3839DEEB" w14:textId="7FB308E4" w:rsidR="00FE3423" w:rsidRDefault="342EF127" w:rsidP="164D103F">
      <w:pPr>
        <w:tabs>
          <w:tab w:val="left" w:pos="1985"/>
        </w:tabs>
        <w:ind w:left="1980" w:hanging="1980"/>
        <w:rPr>
          <w:rFonts w:ascii="Arial" w:hAnsi="Arial"/>
          <w:sz w:val="24"/>
          <w:szCs w:val="24"/>
        </w:rPr>
      </w:pPr>
      <w:r w:rsidRPr="164D103F">
        <w:rPr>
          <w:rFonts w:ascii="Arial" w:hAnsi="Arial"/>
          <w:b/>
          <w:bCs/>
          <w:sz w:val="24"/>
          <w:szCs w:val="24"/>
        </w:rPr>
        <w:t>Title</w:t>
      </w:r>
      <w:r w:rsidR="0080063C">
        <w:rPr>
          <w:rFonts w:ascii="Arial" w:hAnsi="Arial"/>
          <w:b/>
          <w:bCs/>
          <w:sz w:val="24"/>
          <w:szCs w:val="24"/>
        </w:rPr>
        <w:tab/>
      </w:r>
      <w:r w:rsidRPr="164D103F">
        <w:rPr>
          <w:rFonts w:ascii="Arial" w:hAnsi="Arial"/>
          <w:b/>
          <w:bCs/>
          <w:sz w:val="24"/>
          <w:szCs w:val="24"/>
        </w:rPr>
        <w:t>:</w:t>
      </w:r>
      <w:r w:rsidR="00FE3423">
        <w:tab/>
      </w:r>
      <w:r w:rsidR="5A142DDD" w:rsidRPr="164D103F">
        <w:rPr>
          <w:rFonts w:ascii="Arial" w:eastAsia="Arial" w:hAnsi="Arial" w:cs="Arial"/>
          <w:sz w:val="24"/>
          <w:szCs w:val="24"/>
        </w:rPr>
        <w:t xml:space="preserve">Open issues related to Rel 19 AIoT Procedures </w:t>
      </w:r>
    </w:p>
    <w:p w14:paraId="1F299D83" w14:textId="1268FD9B" w:rsidR="00FE3423" w:rsidRDefault="00FE3423" w:rsidP="00FE3423">
      <w:pPr>
        <w:tabs>
          <w:tab w:val="left" w:pos="1985"/>
        </w:tabs>
        <w:rPr>
          <w:rStyle w:val="a"/>
        </w:rPr>
      </w:pPr>
      <w:r w:rsidRPr="21DF03CA">
        <w:rPr>
          <w:rFonts w:ascii="Arial" w:hAnsi="Arial"/>
          <w:b/>
          <w:sz w:val="24"/>
          <w:szCs w:val="24"/>
        </w:rPr>
        <w:t>Source</w:t>
      </w:r>
      <w:r w:rsidR="0080063C">
        <w:rPr>
          <w:rFonts w:ascii="Arial" w:hAnsi="Arial"/>
          <w:b/>
          <w:sz w:val="24"/>
          <w:szCs w:val="24"/>
        </w:rPr>
        <w:tab/>
      </w:r>
      <w:r w:rsidRPr="21DF03CA">
        <w:rPr>
          <w:rFonts w:ascii="Arial" w:hAnsi="Arial"/>
          <w:b/>
          <w:sz w:val="24"/>
          <w:szCs w:val="24"/>
        </w:rPr>
        <w:t>:</w:t>
      </w:r>
      <w:r>
        <w:tab/>
      </w:r>
      <w:r>
        <w:rPr>
          <w:rStyle w:val="a"/>
        </w:rPr>
        <w:t>Tejas Networks</w:t>
      </w:r>
      <w:r w:rsidR="2892414E" w:rsidRPr="21DF03CA">
        <w:rPr>
          <w:rStyle w:val="a"/>
        </w:rPr>
        <w:t xml:space="preserve"> Limited</w:t>
      </w:r>
    </w:p>
    <w:p w14:paraId="1A8C70A7" w14:textId="60D5D0A3" w:rsidR="00FE3423" w:rsidRDefault="00FE3423" w:rsidP="00FE3423">
      <w:pPr>
        <w:tabs>
          <w:tab w:val="left" w:pos="1985"/>
        </w:tabs>
        <w:rPr>
          <w:rStyle w:val="a"/>
        </w:rPr>
      </w:pPr>
      <w:r>
        <w:rPr>
          <w:rFonts w:ascii="Arial" w:hAnsi="Arial"/>
          <w:b/>
          <w:sz w:val="24"/>
        </w:rPr>
        <w:t>Agenda item</w:t>
      </w:r>
      <w:r w:rsidR="0080063C">
        <w:rPr>
          <w:rFonts w:ascii="Arial" w:hAnsi="Arial"/>
          <w:b/>
          <w:sz w:val="24"/>
        </w:rPr>
        <w:tab/>
      </w:r>
      <w:r>
        <w:rPr>
          <w:rFonts w:ascii="Arial" w:hAnsi="Arial"/>
          <w:b/>
          <w:sz w:val="24"/>
        </w:rPr>
        <w:t>:</w:t>
      </w:r>
      <w:r>
        <w:rPr>
          <w:rFonts w:ascii="Arial" w:hAnsi="Arial"/>
          <w:sz w:val="24"/>
        </w:rPr>
        <w:t xml:space="preserve"> 16.2</w:t>
      </w:r>
    </w:p>
    <w:p w14:paraId="18CA63C7" w14:textId="05B1F94D" w:rsidR="00FE3423" w:rsidRDefault="00FE3423" w:rsidP="00FE3423">
      <w:pPr>
        <w:tabs>
          <w:tab w:val="left" w:pos="1985"/>
        </w:tabs>
        <w:ind w:left="1980" w:hanging="1980"/>
      </w:pPr>
      <w:r>
        <w:rPr>
          <w:rFonts w:ascii="Arial" w:hAnsi="Arial"/>
          <w:b/>
          <w:sz w:val="24"/>
        </w:rPr>
        <w:t>Document Type</w:t>
      </w:r>
      <w:r w:rsidR="0080063C">
        <w:rPr>
          <w:rFonts w:ascii="Arial" w:hAnsi="Arial"/>
          <w:b/>
          <w:sz w:val="24"/>
        </w:rPr>
        <w:tab/>
      </w:r>
      <w:r>
        <w:rPr>
          <w:rFonts w:ascii="Arial" w:hAnsi="Arial"/>
          <w:b/>
          <w:sz w:val="24"/>
        </w:rPr>
        <w:t>:</w:t>
      </w:r>
      <w:r w:rsidR="0080063C">
        <w:rPr>
          <w:rFonts w:ascii="Arial" w:hAnsi="Arial"/>
          <w:b/>
          <w:sz w:val="24"/>
        </w:rPr>
        <w:t xml:space="preserve"> </w:t>
      </w:r>
      <w:r>
        <w:rPr>
          <w:rFonts w:ascii="Arial" w:hAnsi="Arial"/>
          <w:sz w:val="24"/>
        </w:rPr>
        <w:t>Discussion</w:t>
      </w:r>
    </w:p>
    <w:bookmarkEnd w:id="0"/>
    <w:p w14:paraId="27628A1C" w14:textId="18361497" w:rsidR="00FE3423" w:rsidRDefault="00FE3423" w:rsidP="00FE3423">
      <w:pPr>
        <w:pStyle w:val="Heading1"/>
        <w:rPr>
          <w:rFonts w:eastAsia="SimSun"/>
          <w:lang w:eastAsia="zh-CN"/>
        </w:rPr>
      </w:pPr>
      <w:r>
        <w:rPr>
          <w:rFonts w:eastAsia="SimSun"/>
          <w:lang w:eastAsia="zh-CN"/>
        </w:rPr>
        <w:t>1.Introduction</w:t>
      </w:r>
    </w:p>
    <w:p w14:paraId="0A590C39" w14:textId="26D58672" w:rsidR="00FE3423" w:rsidRPr="005704A1" w:rsidRDefault="00FE5E9B" w:rsidP="00FE3423">
      <w:pPr>
        <w:adjustRightInd w:val="0"/>
        <w:snapToGrid w:val="0"/>
      </w:pPr>
      <w:r w:rsidRPr="00FE5E9B">
        <w:t xml:space="preserve">In this Tdoc, we propose solutions to address some of the remaining open issues that need to be resolved during </w:t>
      </w:r>
      <w:r>
        <w:t xml:space="preserve">the RAN3#129 </w:t>
      </w:r>
      <w:r w:rsidRPr="00FE5E9B">
        <w:t>meeting</w:t>
      </w:r>
      <w:r w:rsidR="00FE3423">
        <w:t>.</w:t>
      </w:r>
    </w:p>
    <w:p w14:paraId="15369517" w14:textId="77777777" w:rsidR="00FE3423" w:rsidRPr="00853342" w:rsidRDefault="00FE3423" w:rsidP="00FE3423">
      <w:pPr>
        <w:pStyle w:val="Heading1"/>
        <w:jc w:val="both"/>
        <w:rPr>
          <w:rFonts w:eastAsia="SimSun"/>
          <w:lang w:eastAsia="zh-CN"/>
        </w:rPr>
      </w:pPr>
      <w:r>
        <w:rPr>
          <w:rFonts w:eastAsia="SimSun"/>
          <w:lang w:eastAsia="zh-CN"/>
        </w:rPr>
        <w:t>2. Discussion</w:t>
      </w:r>
    </w:p>
    <w:p w14:paraId="6A02578A" w14:textId="3283ADE1" w:rsidR="00FE3423" w:rsidRPr="000F316F" w:rsidRDefault="00FE3423" w:rsidP="00FE3423">
      <w:pPr>
        <w:rPr>
          <w:b/>
          <w:bCs/>
          <w:sz w:val="30"/>
          <w:szCs w:val="30"/>
        </w:rPr>
      </w:pPr>
      <w:r w:rsidRPr="000F316F">
        <w:rPr>
          <w:b/>
          <w:bCs/>
          <w:sz w:val="30"/>
          <w:szCs w:val="30"/>
        </w:rPr>
        <w:t xml:space="preserve">2.1 </w:t>
      </w:r>
      <w:r w:rsidR="00627C1E">
        <w:rPr>
          <w:b/>
          <w:bCs/>
          <w:sz w:val="30"/>
          <w:szCs w:val="30"/>
        </w:rPr>
        <w:t>Time Interval for result aggregation</w:t>
      </w:r>
      <w:r w:rsidR="00595C55">
        <w:rPr>
          <w:b/>
          <w:bCs/>
          <w:sz w:val="30"/>
          <w:szCs w:val="30"/>
        </w:rPr>
        <w:t xml:space="preserve"> in Inventory Request message</w:t>
      </w:r>
    </w:p>
    <w:p w14:paraId="10F3CB3C" w14:textId="6684F41A" w:rsidR="008E1F04" w:rsidRDefault="008E1F04" w:rsidP="00FE3423">
      <w:r>
        <w:rPr>
          <w:noProof/>
        </w:rPr>
        <mc:AlternateContent>
          <mc:Choice Requires="wps">
            <w:drawing>
              <wp:anchor distT="45720" distB="45720" distL="114300" distR="114300" simplePos="0" relativeHeight="251660289" behindDoc="0" locked="0" layoutInCell="1" allowOverlap="1" wp14:anchorId="626AB0B3" wp14:editId="08161FEB">
                <wp:simplePos x="0" y="0"/>
                <wp:positionH relativeFrom="column">
                  <wp:posOffset>-13970</wp:posOffset>
                </wp:positionH>
                <wp:positionV relativeFrom="paragraph">
                  <wp:posOffset>496801</wp:posOffset>
                </wp:positionV>
                <wp:extent cx="6019800" cy="436245"/>
                <wp:effectExtent l="0" t="0" r="19050"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436245"/>
                        </a:xfrm>
                        <a:prstGeom prst="rect">
                          <a:avLst/>
                        </a:prstGeom>
                        <a:solidFill>
                          <a:srgbClr val="FFFFFF"/>
                        </a:solidFill>
                        <a:ln w="9525">
                          <a:solidFill>
                            <a:srgbClr val="000000"/>
                          </a:solidFill>
                          <a:miter lim="800000"/>
                          <a:headEnd/>
                          <a:tailEnd/>
                        </a:ln>
                      </wps:spPr>
                      <wps:txbx>
                        <w:txbxContent>
                          <w:p w14:paraId="656FF0ED" w14:textId="41C9ABC1" w:rsidR="008E1F04" w:rsidRDefault="008E1F04" w:rsidP="008E1F04">
                            <w:pPr>
                              <w:overflowPunct w:val="0"/>
                              <w:textAlignment w:val="baseline"/>
                              <w:rPr>
                                <w:rFonts w:ascii="Calibri" w:hAnsi="Calibri" w:cs="Calibri"/>
                                <w:b/>
                                <w:color w:val="0000FF"/>
                                <w:lang w:val="en-US"/>
                              </w:rPr>
                            </w:pPr>
                            <w:r>
                              <w:rPr>
                                <w:rFonts w:ascii="Calibri" w:hAnsi="Calibri" w:cs="Calibri"/>
                                <w:b/>
                                <w:color w:val="0000FF"/>
                              </w:rPr>
                              <w:t>It is FFS on the Time Interval as assistance information in the Inventory Request message. Clarify with SA2 on the usage of this information in NG-RAN node.</w:t>
                            </w:r>
                          </w:p>
                          <w:p w14:paraId="5CD3F149" w14:textId="478A3D30" w:rsidR="008E1F04" w:rsidRDefault="008E1F0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5F211653">
              <v:shapetype id="_x0000_t202" coordsize="21600,21600" o:spt="202" path="m,l,21600r21600,l21600,xe" w14:anchorId="626AB0B3">
                <v:stroke joinstyle="miter"/>
                <v:path gradientshapeok="t" o:connecttype="rect"/>
              </v:shapetype>
              <v:shape id="Text Box 2" style="position:absolute;margin-left:-1.1pt;margin-top:39.1pt;width:474pt;height:34.35pt;z-index:25166028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">
                <v:textbox>
                  <w:txbxContent>
                    <w:p w:rsidR="008E1F04" w:rsidP="008E1F04" w:rsidRDefault="008E1F04" w14:paraId="645C9716" w14:textId="41C9ABC1">
                      <w:pPr>
                        <w:overflowPunct w:val="0"/>
                        <w:textAlignment w:val="baseline"/>
                        <w:rPr>
                          <w:rFonts w:ascii="Calibri" w:hAnsi="Calibri" w:cs="Calibri"/>
                          <w:b/>
                          <w:color w:val="0000FF"/>
                          <w:lang w:val="en-US"/>
                        </w:rPr>
                      </w:pPr>
                      <w:r>
                        <w:rPr>
                          <w:rFonts w:ascii="Calibri" w:hAnsi="Calibri" w:cs="Calibri"/>
                          <w:b/>
                          <w:color w:val="0000FF"/>
                        </w:rPr>
                        <w:t>It is FFS on the Time Interval as assistance information in the Inventory Request message. Clarify with SA2 on the usage of this information in NG-RAN node.</w:t>
                      </w:r>
                    </w:p>
                    <w:p w:rsidR="008E1F04" w:rsidRDefault="008E1F04" w14:paraId="672A6659" w14:textId="478A3D30"/>
                  </w:txbxContent>
                </v:textbox>
                <w10:wrap type="square"/>
              </v:shape>
            </w:pict>
          </mc:Fallback>
        </mc:AlternateContent>
      </w:r>
      <w:r w:rsidR="00636DD4" w:rsidRPr="00636DD4">
        <w:t xml:space="preserve">During the last meeting, there was a discussion on whether </w:t>
      </w:r>
      <w:r w:rsidR="00636DD4">
        <w:t>the</w:t>
      </w:r>
      <w:r w:rsidR="00636DD4" w:rsidRPr="00636DD4">
        <w:t xml:space="preserve"> time interval should be included in the Inventory Request message, and what advantages it might offer.</w:t>
      </w:r>
      <w:r w:rsidR="00301A99">
        <w:t xml:space="preserve"> </w:t>
      </w:r>
      <w:r>
        <w:t>The following</w:t>
      </w:r>
      <w:r w:rsidR="00636DD4">
        <w:t xml:space="preserve"> is</w:t>
      </w:r>
      <w:r>
        <w:t xml:space="preserve"> the related FFS </w:t>
      </w:r>
      <w:r w:rsidR="00636DD4">
        <w:t>from</w:t>
      </w:r>
      <w:r>
        <w:t xml:space="preserve"> RAN</w:t>
      </w:r>
      <w:r w:rsidR="001C0285">
        <w:t>3#128</w:t>
      </w:r>
      <w:r>
        <w:t xml:space="preserve"> chair note.</w:t>
      </w:r>
    </w:p>
    <w:p w14:paraId="76E52E35" w14:textId="5B86C50C" w:rsidR="00FE3423" w:rsidRPr="008E1F04" w:rsidRDefault="00636DD4" w:rsidP="00FE3423">
      <w:pPr>
        <w:rPr>
          <w:b/>
          <w:bCs/>
          <w:sz w:val="30"/>
          <w:szCs w:val="30"/>
        </w:rPr>
      </w:pPr>
      <w:r w:rsidRPr="00636DD4">
        <w:t>The concept of an optional time interval for aggregation is already defined in 3GPP TS 23.369. We</w:t>
      </w:r>
      <w:r>
        <w:t xml:space="preserve"> also</w:t>
      </w:r>
      <w:r w:rsidRPr="00636DD4">
        <w:t xml:space="preserve"> propose </w:t>
      </w:r>
      <w:r>
        <w:t xml:space="preserve">for </w:t>
      </w:r>
      <w:r w:rsidRPr="00636DD4">
        <w:t>including the time interval in the Inventory Request message. This enhancement would help reduce signalling frequency between the gNB and the AIOTF. Moreover, since a single AIOTF may serve multiple NG-RANs, this Information Element (IE) would facilitate synchronization across the system, enabling the AIOTF to send a consolidated response.</w:t>
      </w:r>
      <w:r w:rsidR="008E1F04">
        <w:br/>
      </w:r>
      <w:r w:rsidR="008E1F04">
        <w:br/>
      </w:r>
      <w:r w:rsidR="008E1F04" w:rsidRPr="008E1F04">
        <w:rPr>
          <w:b/>
          <w:bCs/>
        </w:rPr>
        <w:t xml:space="preserve">Proposal 1: Introduce an optional Time Interval parameter in the Inventory Request, as recommended in 3GPP TS 23.369. This enhancement will help reduce </w:t>
      </w:r>
      <w:r w:rsidR="004B799A" w:rsidRPr="008E1F04">
        <w:rPr>
          <w:b/>
          <w:bCs/>
        </w:rPr>
        <w:t>signalling</w:t>
      </w:r>
      <w:r w:rsidR="008E1F04" w:rsidRPr="008E1F04">
        <w:rPr>
          <w:b/>
          <w:bCs/>
        </w:rPr>
        <w:t xml:space="preserve"> overhead and enable better synchronization across the service.</w:t>
      </w:r>
    </w:p>
    <w:p w14:paraId="2FD9EE30" w14:textId="13E54AEA" w:rsidR="008E1F04" w:rsidRDefault="008E1F04" w:rsidP="00FE3423">
      <w:pPr>
        <w:rPr>
          <w:b/>
          <w:bCs/>
          <w:sz w:val="30"/>
          <w:szCs w:val="30"/>
        </w:rPr>
      </w:pPr>
      <w:r w:rsidRPr="008E1F04">
        <w:rPr>
          <w:b/>
          <w:bCs/>
          <w:sz w:val="30"/>
          <w:szCs w:val="30"/>
        </w:rPr>
        <w:t xml:space="preserve">2.2 Requirement of Inventory complete </w:t>
      </w:r>
      <w:r>
        <w:rPr>
          <w:b/>
          <w:bCs/>
          <w:sz w:val="30"/>
          <w:szCs w:val="30"/>
        </w:rPr>
        <w:t xml:space="preserve">Indication </w:t>
      </w:r>
      <w:r w:rsidRPr="008E1F04">
        <w:rPr>
          <w:b/>
          <w:bCs/>
          <w:sz w:val="30"/>
          <w:szCs w:val="30"/>
        </w:rPr>
        <w:t>for command after inventory</w:t>
      </w:r>
      <w:r>
        <w:rPr>
          <w:b/>
          <w:bCs/>
          <w:sz w:val="30"/>
          <w:szCs w:val="30"/>
        </w:rPr>
        <w:t xml:space="preserve"> procedure</w:t>
      </w:r>
    </w:p>
    <w:p w14:paraId="597BF54D" w14:textId="79332C18" w:rsidR="001C0285" w:rsidRPr="001C0285" w:rsidRDefault="001C0285" w:rsidP="00FE3423">
      <w:r w:rsidRPr="001C0285">
        <w:rPr>
          <w:noProof/>
        </w:rPr>
        <mc:AlternateContent>
          <mc:Choice Requires="wps">
            <w:drawing>
              <wp:anchor distT="45720" distB="45720" distL="114300" distR="114300" simplePos="0" relativeHeight="251662337" behindDoc="0" locked="0" layoutInCell="1" allowOverlap="1" wp14:anchorId="7DE8DDAD" wp14:editId="6BD60422">
                <wp:simplePos x="0" y="0"/>
                <wp:positionH relativeFrom="column">
                  <wp:posOffset>-14201</wp:posOffset>
                </wp:positionH>
                <wp:positionV relativeFrom="paragraph">
                  <wp:posOffset>329218</wp:posOffset>
                </wp:positionV>
                <wp:extent cx="5645150" cy="1384935"/>
                <wp:effectExtent l="0" t="0" r="12700" b="2476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5150" cy="1384935"/>
                        </a:xfrm>
                        <a:prstGeom prst="rect">
                          <a:avLst/>
                        </a:prstGeom>
                        <a:solidFill>
                          <a:srgbClr val="FFFFFF"/>
                        </a:solidFill>
                        <a:ln w="9525">
                          <a:solidFill>
                            <a:srgbClr val="000000"/>
                          </a:solidFill>
                          <a:miter lim="800000"/>
                          <a:headEnd/>
                          <a:tailEnd/>
                        </a:ln>
                      </wps:spPr>
                      <wps:txbx>
                        <w:txbxContent>
                          <w:p w14:paraId="24E9736D" w14:textId="77777777" w:rsidR="008E1F04" w:rsidRDefault="008E1F04" w:rsidP="008E1F04">
                            <w:pPr>
                              <w:overflowPunct w:val="0"/>
                              <w:textAlignment w:val="baseline"/>
                              <w:rPr>
                                <w:rFonts w:ascii="Calibri" w:hAnsi="Calibri" w:cs="Calibri"/>
                                <w:b/>
                                <w:color w:val="008000"/>
                                <w:lang w:val="en-US"/>
                              </w:rPr>
                            </w:pPr>
                            <w:r>
                              <w:rPr>
                                <w:rFonts w:ascii="Calibri" w:eastAsia="DengXian" w:hAnsi="Calibri" w:cs="Calibri"/>
                                <w:b/>
                                <w:color w:val="008000"/>
                              </w:rPr>
                              <w:t xml:space="preserve">In the case of Inventory only scenario, introduce </w:t>
                            </w:r>
                            <w:r>
                              <w:rPr>
                                <w:rFonts w:ascii="Calibri" w:hAnsi="Calibri" w:cs="Calibri"/>
                                <w:b/>
                                <w:color w:val="008000"/>
                              </w:rPr>
                              <w:t xml:space="preserve">Inventory Complete indication to inform the AIoT CN about the complete of the triggered Inventory session. </w:t>
                            </w:r>
                            <w:r>
                              <w:rPr>
                                <w:rFonts w:ascii="Calibri" w:hAnsi="Calibri" w:cs="Calibri"/>
                                <w:b/>
                                <w:color w:val="0000FF"/>
                                <w:sz w:val="18"/>
                              </w:rPr>
                              <w:t xml:space="preserve">FFS on the detail about Inventory Complete indication via new procedure or introducing indication IE in current Inventory Report message. </w:t>
                            </w:r>
                          </w:p>
                          <w:p w14:paraId="2AFDD3F9" w14:textId="77777777" w:rsidR="008E1F04" w:rsidRDefault="008E1F04" w:rsidP="008E1F04">
                            <w:pPr>
                              <w:overflowPunct w:val="0"/>
                              <w:textAlignment w:val="baseline"/>
                              <w:rPr>
                                <w:rFonts w:ascii="Calibri" w:hAnsi="Calibri" w:cs="Calibri"/>
                                <w:b/>
                                <w:color w:val="0000FF"/>
                                <w:sz w:val="18"/>
                              </w:rPr>
                            </w:pPr>
                            <w:r>
                              <w:rPr>
                                <w:rFonts w:ascii="Calibri" w:hAnsi="Calibri" w:cs="Calibri"/>
                                <w:b/>
                                <w:color w:val="0000FF"/>
                                <w:sz w:val="18"/>
                              </w:rPr>
                              <w:t>In the case of Command after Inventory scenario, whether need to introduce the complete indication needs to be further checked.</w:t>
                            </w:r>
                          </w:p>
                          <w:p w14:paraId="66B9B3D9" w14:textId="77777777" w:rsidR="008E1F04" w:rsidRDefault="008E1F04" w:rsidP="008E1F04">
                            <w:pPr>
                              <w:overflowPunct w:val="0"/>
                              <w:textAlignment w:val="baseline"/>
                              <w:rPr>
                                <w:rFonts w:ascii="Calibri" w:eastAsia="Yu Mincho" w:hAnsi="Calibri" w:cs="Calibri"/>
                                <w:b/>
                                <w:color w:val="7030A0"/>
                              </w:rPr>
                            </w:pPr>
                            <w:r>
                              <w:rPr>
                                <w:rFonts w:ascii="Calibri" w:hAnsi="Calibri" w:cs="Calibri"/>
                                <w:b/>
                                <w:color w:val="008000"/>
                              </w:rPr>
                              <w:t>Introduce a class2 procedure to allow NG-RAN node to trigger Session Release procedure towards AIoT CN.</w:t>
                            </w:r>
                          </w:p>
                          <w:p w14:paraId="084EA224" w14:textId="0F4AE0A0" w:rsidR="008E1F04" w:rsidRDefault="008E1F0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70B4CFA9">
              <v:shape id="_x0000_s1027" style="position:absolute;margin-left:-1.1pt;margin-top:25.9pt;width:444.5pt;height:109.05pt;z-index:25166233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" w14:anchorId="7DE8DDAD">
                <v:textbox>
                  <w:txbxContent>
                    <w:p w:rsidR="008E1F04" w:rsidP="008E1F04" w:rsidRDefault="008E1F04" w14:paraId="60666671" w14:textId="77777777">
                      <w:pPr>
                        <w:overflowPunct w:val="0"/>
                        <w:textAlignment w:val="baseline"/>
                        <w:rPr>
                          <w:rFonts w:ascii="Calibri" w:hAnsi="Calibri" w:cs="Calibri"/>
                          <w:b/>
                          <w:color w:val="008000"/>
                          <w:lang w:val="en-US"/>
                        </w:rPr>
                      </w:pPr>
                      <w:r>
                        <w:rPr>
                          <w:rFonts w:ascii="Calibri" w:hAnsi="Calibri" w:eastAsia="DengXian" w:cs="Calibri"/>
                          <w:b/>
                          <w:color w:val="008000"/>
                        </w:rPr>
                        <w:t xml:space="preserve">In the case of Inventory only scenario, introduce </w:t>
                      </w:r>
                      <w:r>
                        <w:rPr>
                          <w:rFonts w:ascii="Calibri" w:hAnsi="Calibri" w:cs="Calibri"/>
                          <w:b/>
                          <w:color w:val="008000"/>
                        </w:rPr>
                        <w:t xml:space="preserve">Inventory Complete indication to inform the </w:t>
                      </w:r>
                      <w:proofErr w:type="spellStart"/>
                      <w:r>
                        <w:rPr>
                          <w:rFonts w:ascii="Calibri" w:hAnsi="Calibri" w:cs="Calibri"/>
                          <w:b/>
                          <w:color w:val="008000"/>
                        </w:rPr>
                        <w:t>AIoT</w:t>
                      </w:r>
                      <w:proofErr w:type="spellEnd"/>
                      <w:r>
                        <w:rPr>
                          <w:rFonts w:ascii="Calibri" w:hAnsi="Calibri" w:cs="Calibri"/>
                          <w:b/>
                          <w:color w:val="008000"/>
                        </w:rPr>
                        <w:t xml:space="preserve"> CN about the complete of the triggered Inventory session. </w:t>
                      </w:r>
                      <w:r>
                        <w:rPr>
                          <w:rFonts w:ascii="Calibri" w:hAnsi="Calibri" w:cs="Calibri"/>
                          <w:b/>
                          <w:color w:val="0000FF"/>
                          <w:sz w:val="18"/>
                        </w:rPr>
                        <w:t xml:space="preserve">FFS on the detail about Inventory Complete indication via new procedure or introducing indication IE in current Inventory Report message. </w:t>
                      </w:r>
                    </w:p>
                    <w:p w:rsidR="008E1F04" w:rsidP="008E1F04" w:rsidRDefault="008E1F04" w14:paraId="36279F95" w14:textId="77777777">
                      <w:pPr>
                        <w:overflowPunct w:val="0"/>
                        <w:textAlignment w:val="baseline"/>
                        <w:rPr>
                          <w:rFonts w:ascii="Calibri" w:hAnsi="Calibri" w:cs="Calibri"/>
                          <w:b/>
                          <w:color w:val="0000FF"/>
                          <w:sz w:val="18"/>
                        </w:rPr>
                      </w:pPr>
                      <w:r>
                        <w:rPr>
                          <w:rFonts w:ascii="Calibri" w:hAnsi="Calibri" w:cs="Calibri"/>
                          <w:b/>
                          <w:color w:val="0000FF"/>
                          <w:sz w:val="18"/>
                        </w:rPr>
                        <w:t>In the case of Command after Inventory scenario, whether need to introduce the complete indication needs to be further checked.</w:t>
                      </w:r>
                    </w:p>
                    <w:p w:rsidR="008E1F04" w:rsidP="008E1F04" w:rsidRDefault="008E1F04" w14:paraId="359631D3" w14:textId="77777777">
                      <w:pPr>
                        <w:overflowPunct w:val="0"/>
                        <w:textAlignment w:val="baseline"/>
                        <w:rPr>
                          <w:rFonts w:ascii="Calibri" w:hAnsi="Calibri" w:eastAsia="Yu Mincho" w:cs="Calibri"/>
                          <w:b/>
                          <w:color w:val="7030A0"/>
                        </w:rPr>
                      </w:pPr>
                      <w:r>
                        <w:rPr>
                          <w:rFonts w:ascii="Calibri" w:hAnsi="Calibri" w:cs="Calibri"/>
                          <w:b/>
                          <w:color w:val="008000"/>
                        </w:rPr>
                        <w:t xml:space="preserve">Introduce a class2 procedure to allow NG-RAN node to trigger Session Release procedure towards </w:t>
                      </w:r>
                      <w:proofErr w:type="spellStart"/>
                      <w:r>
                        <w:rPr>
                          <w:rFonts w:ascii="Calibri" w:hAnsi="Calibri" w:cs="Calibri"/>
                          <w:b/>
                          <w:color w:val="008000"/>
                        </w:rPr>
                        <w:t>AIoT</w:t>
                      </w:r>
                      <w:proofErr w:type="spellEnd"/>
                      <w:r>
                        <w:rPr>
                          <w:rFonts w:ascii="Calibri" w:hAnsi="Calibri" w:cs="Calibri"/>
                          <w:b/>
                          <w:color w:val="008000"/>
                        </w:rPr>
                        <w:t xml:space="preserve"> CN.</w:t>
                      </w:r>
                    </w:p>
                    <w:p w:rsidR="008E1F04" w:rsidRDefault="008E1F04" w14:paraId="0A37501D" w14:textId="0F4AE0A0"/>
                  </w:txbxContent>
                </v:textbox>
                <w10:wrap type="square"/>
              </v:shape>
            </w:pict>
          </mc:Fallback>
        </mc:AlternateContent>
      </w:r>
      <w:r w:rsidRPr="001C0285">
        <w:t>R</w:t>
      </w:r>
      <w:r w:rsidR="008B43D2">
        <w:t>AN</w:t>
      </w:r>
      <w:r w:rsidRPr="001C0285">
        <w:t>3#128 Chair</w:t>
      </w:r>
      <w:r>
        <w:t xml:space="preserve"> </w:t>
      </w:r>
      <w:r w:rsidRPr="001C0285">
        <w:t>note</w:t>
      </w:r>
      <w:r>
        <w:t>:</w:t>
      </w:r>
    </w:p>
    <w:p w14:paraId="22682B0E" w14:textId="77777777" w:rsidR="003F7258" w:rsidRDefault="003F7258" w:rsidP="003F7258">
      <w:r>
        <w:lastRenderedPageBreak/>
        <w:t>Inventory Complete Indication in Inventory-Only Procedure</w:t>
      </w:r>
    </w:p>
    <w:p w14:paraId="273E4C57" w14:textId="040C6AAE" w:rsidR="003F7258" w:rsidRDefault="003F7258" w:rsidP="003F7258">
      <w:r>
        <w:t>In the last meeting, it was agreed to include an Inventory Complete Indication in the Inventory-Only procedure. However, there was no consensus on how this indication should be conveyed from the gNB to the AIoT CN, nor on whether it is necessary in the Command-After-Inventory scenario.</w:t>
      </w:r>
    </w:p>
    <w:p w14:paraId="4CE10E39" w14:textId="6F50A665" w:rsidR="003F7258" w:rsidRDefault="003F7258" w:rsidP="003F7258">
      <w:r>
        <w:t>The optional inclusion of the Inventory Complete Indication in the Command-After-Inventory scenario has already been agreed upon in 3GPP TS 23.369 (SA2). This indication is valuable for enabling nodes to understand when the service has been fully completed, especially in scenarios involving partial inventory results.</w:t>
      </w:r>
    </w:p>
    <w:p w14:paraId="2DA2D157" w14:textId="61EBFAC2" w:rsidR="0058588E" w:rsidRPr="003F7258" w:rsidRDefault="003F7258" w:rsidP="003F7258">
      <w:r>
        <w:t>For example, consider a case where the AIOTF intends to command 10</w:t>
      </w:r>
      <w:r w:rsidR="00EB469D">
        <w:t>0</w:t>
      </w:r>
      <w:r>
        <w:t xml:space="preserve"> devices and includes an approximate </w:t>
      </w:r>
      <w:r w:rsidR="000A0CE2">
        <w:t xml:space="preserve">number of devices as </w:t>
      </w:r>
      <w:r>
        <w:t>100 in the Inventory Request. If the gNB returns an Inventory Response for only 80 devices—having failed to access the remaining 20—the AIOTF will proceed to command the 80 devices. However, without an explicit indication that the inventory process is complete, the AIOTF cannot be certain whether the service request has been fully addressed. This uncertainty can lead to delays in session release and unnecessary resource consumption.</w:t>
      </w:r>
      <w:r w:rsidR="0058588E">
        <w:br/>
      </w:r>
      <w:r w:rsidR="0058588E">
        <w:br/>
      </w:r>
      <w:r w:rsidR="0058588E" w:rsidRPr="0058588E">
        <w:rPr>
          <w:b/>
          <w:bCs/>
        </w:rPr>
        <w:t>Proposal 2: Propose to introduce inventory complete indication in the command after inventory scenario also.</w:t>
      </w:r>
      <w:r w:rsidRPr="003F7258">
        <w:t xml:space="preserve"> </w:t>
      </w:r>
      <w:r w:rsidRPr="003F7258">
        <w:rPr>
          <w:b/>
          <w:bCs/>
        </w:rPr>
        <w:t>This will ensure clarity on service completion, reduce resource wastage, and improve overall system efficiency.</w:t>
      </w:r>
    </w:p>
    <w:p w14:paraId="19346B59" w14:textId="77777777" w:rsidR="00EB469D" w:rsidRDefault="00EB469D" w:rsidP="00EB469D">
      <w:r>
        <w:t>To introduce the Inventory Complete Indication in the Inventory-Only scenario, several proposals were discussed during the last meeting. These included:</w:t>
      </w:r>
    </w:p>
    <w:p w14:paraId="23859A38" w14:textId="77777777" w:rsidR="00EB469D" w:rsidRDefault="00EB469D" w:rsidP="00EB469D">
      <w:pPr>
        <w:pStyle w:val="ListParagraph"/>
        <w:numPr>
          <w:ilvl w:val="0"/>
          <w:numId w:val="4"/>
        </w:numPr>
      </w:pPr>
      <w:r>
        <w:t>Adding an Inventory Complete Indication IE in the final Inventory Report.</w:t>
      </w:r>
    </w:p>
    <w:p w14:paraId="577A0E77" w14:textId="77777777" w:rsidR="00EB469D" w:rsidRDefault="00EB469D" w:rsidP="00EB469D">
      <w:pPr>
        <w:pStyle w:val="ListParagraph"/>
        <w:numPr>
          <w:ilvl w:val="0"/>
          <w:numId w:val="4"/>
        </w:numPr>
      </w:pPr>
      <w:r>
        <w:t>Defining a new procedure specifically to signal inventory completion.</w:t>
      </w:r>
    </w:p>
    <w:p w14:paraId="1AE29244" w14:textId="77777777" w:rsidR="00EB469D" w:rsidRDefault="00EB469D" w:rsidP="00EB469D">
      <w:pPr>
        <w:pStyle w:val="ListParagraph"/>
        <w:numPr>
          <w:ilvl w:val="0"/>
          <w:numId w:val="4"/>
        </w:numPr>
      </w:pPr>
      <w:r>
        <w:t>Reusing the existing Session Release Request procedure from the gNB, with an added IE to indicate inventory completion.</w:t>
      </w:r>
    </w:p>
    <w:p w14:paraId="3AA0B417" w14:textId="76DFD569" w:rsidR="00F847DA" w:rsidRDefault="00EB469D" w:rsidP="00EB469D">
      <w:r>
        <w:t>I</w:t>
      </w:r>
      <w:r w:rsidR="00874324">
        <w:t xml:space="preserve">ndicating inventory complete procedure to the AIOTF via session release request </w:t>
      </w:r>
      <w:r w:rsidR="001D2F1F">
        <w:t xml:space="preserve">procedure </w:t>
      </w:r>
      <w:r w:rsidR="00874324">
        <w:t xml:space="preserve">is </w:t>
      </w:r>
      <w:r>
        <w:t xml:space="preserve">not </w:t>
      </w:r>
      <w:r w:rsidR="00874324">
        <w:t xml:space="preserve">an ideal way. Because when we </w:t>
      </w:r>
      <w:r w:rsidR="007D2B73">
        <w:t>consider indicating</w:t>
      </w:r>
      <w:r w:rsidR="00F847DA">
        <w:t xml:space="preserve"> inventory completion after inventory in </w:t>
      </w:r>
      <w:r w:rsidR="001D2F1F">
        <w:t xml:space="preserve">the </w:t>
      </w:r>
      <w:r w:rsidR="00874324">
        <w:t xml:space="preserve">inventory after command </w:t>
      </w:r>
      <w:r w:rsidR="00F847DA">
        <w:t>scenario this will trigger the release of session in between the ongoing command procedure.</w:t>
      </w:r>
    </w:p>
    <w:p w14:paraId="2504E4E7" w14:textId="260235CE" w:rsidR="001D2F1F" w:rsidRDefault="001D2F1F" w:rsidP="001D2F1F">
      <w:pPr>
        <w:rPr>
          <w:b/>
          <w:bCs/>
        </w:rPr>
      </w:pPr>
      <w:r w:rsidRPr="001D2F1F">
        <w:rPr>
          <w:b/>
          <w:bCs/>
        </w:rPr>
        <w:t>Observation 1:</w:t>
      </w:r>
      <w:r w:rsidR="005D7E57">
        <w:rPr>
          <w:b/>
          <w:bCs/>
        </w:rPr>
        <w:t xml:space="preserve"> </w:t>
      </w:r>
      <w:r w:rsidRPr="001D2F1F">
        <w:rPr>
          <w:b/>
          <w:bCs/>
        </w:rPr>
        <w:t>Using the Session Release Request procedure</w:t>
      </w:r>
      <w:r>
        <w:rPr>
          <w:b/>
          <w:bCs/>
        </w:rPr>
        <w:t xml:space="preserve"> which was </w:t>
      </w:r>
      <w:r w:rsidRPr="001D2F1F">
        <w:rPr>
          <w:b/>
          <w:bCs/>
        </w:rPr>
        <w:t>agreed upon in the last meeting</w:t>
      </w:r>
      <w:r>
        <w:rPr>
          <w:b/>
          <w:bCs/>
        </w:rPr>
        <w:t xml:space="preserve"> </w:t>
      </w:r>
      <w:r w:rsidRPr="001D2F1F">
        <w:rPr>
          <w:b/>
          <w:bCs/>
        </w:rPr>
        <w:t>for indicating Inventory Completion may lead to premature session termination in Command-After-Inventory scenarios. This approach risks releasing the session before the service is fully completed, potentially interrupting the ongoing command procedure.</w:t>
      </w:r>
    </w:p>
    <w:p w14:paraId="75F58AC8" w14:textId="27ED3C09" w:rsidR="001D2F1F" w:rsidRDefault="00317658" w:rsidP="001D2F1F">
      <w:r>
        <w:t>Another</w:t>
      </w:r>
      <w:r w:rsidR="001D2F1F">
        <w:t xml:space="preserve"> suggestion discussed was to introduce an Inventory Report Complete Indication IE in the final inventory report. While this approach is straightforward, but it </w:t>
      </w:r>
      <w:r>
        <w:t>creates</w:t>
      </w:r>
      <w:r w:rsidR="001D2F1F">
        <w:t xml:space="preserve"> a potential challenge.</w:t>
      </w:r>
    </w:p>
    <w:p w14:paraId="362291A3" w14:textId="158C67AC" w:rsidR="001D2F1F" w:rsidRDefault="001D2F1F" w:rsidP="001D2F1F">
      <w:r>
        <w:t>There may be scenarios where the gNB needs to send an inventory report without any device information, solely to indicate the completion of the inventory process. For example, if the gNB is configured to report periodically to the AIOTF, it may only determine after sending the last inventory report that no additional devices are reachable. This could be due to the expiry of paging messages or internal mechanisms that detect unreachable devices.</w:t>
      </w:r>
    </w:p>
    <w:p w14:paraId="33CEFDFD" w14:textId="5324FE22" w:rsidR="00C840D0" w:rsidRDefault="001D2F1F" w:rsidP="00C840D0">
      <w:pPr>
        <w:rPr>
          <w:b/>
          <w:bCs/>
        </w:rPr>
      </w:pPr>
      <w:r>
        <w:t>In such cases, the gNB would need to send an inventory report containing only the Inventory Complete Indication IE, without any device data.</w:t>
      </w:r>
      <w:r w:rsidR="00F847DA">
        <w:br/>
      </w:r>
      <w:r w:rsidR="00587B18">
        <w:br/>
      </w:r>
      <w:r w:rsidR="00587B18" w:rsidRPr="00587B18">
        <w:rPr>
          <w:b/>
          <w:bCs/>
        </w:rPr>
        <w:t xml:space="preserve">Observation </w:t>
      </w:r>
      <w:r w:rsidR="00423959" w:rsidRPr="00587B18">
        <w:rPr>
          <w:b/>
          <w:bCs/>
        </w:rPr>
        <w:t xml:space="preserve">2: </w:t>
      </w:r>
      <w:r w:rsidRPr="001D2F1F">
        <w:rPr>
          <w:b/>
          <w:bCs/>
        </w:rPr>
        <w:t>There is a possibility that the inventory report may contain only the Inventory Complete Indication IE</w:t>
      </w:r>
      <w:r w:rsidR="00DE5B6F">
        <w:rPr>
          <w:b/>
          <w:bCs/>
        </w:rPr>
        <w:t>,</w:t>
      </w:r>
      <w:r w:rsidR="005D7E57">
        <w:rPr>
          <w:b/>
          <w:bCs/>
        </w:rPr>
        <w:t xml:space="preserve"> </w:t>
      </w:r>
      <w:r w:rsidRPr="001D2F1F">
        <w:rPr>
          <w:b/>
          <w:bCs/>
        </w:rPr>
        <w:t>which is not ideal</w:t>
      </w:r>
      <w:r w:rsidR="00C840D0">
        <w:rPr>
          <w:b/>
          <w:bCs/>
        </w:rPr>
        <w:t>.</w:t>
      </w:r>
    </w:p>
    <w:p w14:paraId="0E946FD6" w14:textId="32C467CD" w:rsidR="00C840D0" w:rsidRDefault="00587B18" w:rsidP="00C840D0">
      <w:r>
        <w:br/>
      </w:r>
      <w:r w:rsidR="00C840D0">
        <w:t>The most suitable approach is to introduce a separate Class 2 procedure for indicating Inventory Completion.</w:t>
      </w:r>
    </w:p>
    <w:p w14:paraId="435AD616" w14:textId="6F932481" w:rsidR="005367E1" w:rsidRDefault="00C840D0" w:rsidP="00C840D0">
      <w:r>
        <w:t>This method is applicable to both Inventory-Only and Command-After-Inventory scenarios. It allows the gNB to notify the AIoT CN of inventory completion independently, without relying on or interfering with other procedures, ensuring flexibility and procedural clarity.</w:t>
      </w:r>
    </w:p>
    <w:p w14:paraId="22B5B43E" w14:textId="77777777" w:rsidR="00C840D0" w:rsidRPr="00C840D0" w:rsidRDefault="00C840D0" w:rsidP="00C840D0">
      <w:pPr>
        <w:rPr>
          <w:b/>
          <w:bCs/>
        </w:rPr>
      </w:pPr>
    </w:p>
    <w:p w14:paraId="79C098AE" w14:textId="64E74D63" w:rsidR="00FE5E9B" w:rsidRPr="00FE5E9B" w:rsidRDefault="00FE5E9B" w:rsidP="00FE5E9B">
      <w:pPr>
        <w:spacing w:after="0"/>
        <w:rPr>
          <w:b/>
          <w:bCs/>
          <w:u w:val="single"/>
        </w:rPr>
      </w:pPr>
      <w:r w:rsidRPr="00FE5E9B">
        <w:rPr>
          <w:b/>
          <w:bCs/>
          <w:u w:val="single"/>
        </w:rPr>
        <w:t>Inventory Complete Indication</w:t>
      </w:r>
    </w:p>
    <w:tbl>
      <w:tblPr>
        <w:tblpPr w:leftFromText="180" w:rightFromText="180" w:vertAnchor="text" w:horzAnchor="margin" w:tblpY="147"/>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C840D0" w:rsidRPr="00786B1B" w14:paraId="606D1798" w14:textId="77777777" w:rsidTr="00BE6A5D">
        <w:trPr>
          <w:tblHeader/>
        </w:trPr>
        <w:tc>
          <w:tcPr>
            <w:tcW w:w="2267" w:type="dxa"/>
          </w:tcPr>
          <w:p w14:paraId="7C5BB307" w14:textId="77777777" w:rsidR="00C840D0" w:rsidRPr="007D2B73" w:rsidRDefault="00C840D0" w:rsidP="00C840D0">
            <w:pPr>
              <w:pStyle w:val="TAH"/>
              <w:rPr>
                <w:noProof/>
              </w:rPr>
            </w:pPr>
            <w:r>
              <w:rPr>
                <w:noProof/>
              </w:rPr>
              <w:t>I</w:t>
            </w:r>
            <w:r w:rsidRPr="007D2B73">
              <w:rPr>
                <w:noProof/>
              </w:rPr>
              <w:t>E/Group Name</w:t>
            </w:r>
          </w:p>
        </w:tc>
        <w:tc>
          <w:tcPr>
            <w:tcW w:w="1020" w:type="dxa"/>
          </w:tcPr>
          <w:p w14:paraId="64F01F48" w14:textId="77777777" w:rsidR="00C840D0" w:rsidRPr="007D2B73" w:rsidRDefault="00C840D0" w:rsidP="00C840D0">
            <w:pPr>
              <w:pStyle w:val="TAH"/>
              <w:rPr>
                <w:noProof/>
              </w:rPr>
            </w:pPr>
            <w:r w:rsidRPr="007D2B73">
              <w:rPr>
                <w:noProof/>
              </w:rPr>
              <w:t>Presence</w:t>
            </w:r>
          </w:p>
        </w:tc>
        <w:tc>
          <w:tcPr>
            <w:tcW w:w="1077" w:type="dxa"/>
          </w:tcPr>
          <w:p w14:paraId="6AED0437" w14:textId="77777777" w:rsidR="00C840D0" w:rsidRPr="007D2B73" w:rsidRDefault="00C840D0" w:rsidP="00C840D0">
            <w:pPr>
              <w:pStyle w:val="TAH"/>
              <w:rPr>
                <w:noProof/>
              </w:rPr>
            </w:pPr>
            <w:r w:rsidRPr="007D2B73">
              <w:rPr>
                <w:noProof/>
              </w:rPr>
              <w:t>Range</w:t>
            </w:r>
          </w:p>
        </w:tc>
        <w:tc>
          <w:tcPr>
            <w:tcW w:w="1587" w:type="dxa"/>
          </w:tcPr>
          <w:p w14:paraId="21C7A3E0" w14:textId="77777777" w:rsidR="00C840D0" w:rsidRPr="007D2B73" w:rsidRDefault="00C840D0" w:rsidP="00C840D0">
            <w:pPr>
              <w:pStyle w:val="TAH"/>
              <w:rPr>
                <w:noProof/>
              </w:rPr>
            </w:pPr>
            <w:r w:rsidRPr="007D2B73">
              <w:rPr>
                <w:noProof/>
              </w:rPr>
              <w:t>IE type and reference</w:t>
            </w:r>
          </w:p>
        </w:tc>
        <w:tc>
          <w:tcPr>
            <w:tcW w:w="1757" w:type="dxa"/>
          </w:tcPr>
          <w:p w14:paraId="02E67F74" w14:textId="77777777" w:rsidR="00C840D0" w:rsidRPr="007D2B73" w:rsidRDefault="00C840D0" w:rsidP="00C840D0">
            <w:pPr>
              <w:pStyle w:val="TAH"/>
              <w:rPr>
                <w:noProof/>
              </w:rPr>
            </w:pPr>
            <w:r w:rsidRPr="007D2B73">
              <w:rPr>
                <w:noProof/>
              </w:rPr>
              <w:t>Semantics description</w:t>
            </w:r>
          </w:p>
        </w:tc>
        <w:tc>
          <w:tcPr>
            <w:tcW w:w="1077" w:type="dxa"/>
          </w:tcPr>
          <w:p w14:paraId="5FB425A8" w14:textId="77777777" w:rsidR="00C840D0" w:rsidRPr="007D2B73" w:rsidRDefault="00C840D0" w:rsidP="00C840D0">
            <w:pPr>
              <w:pStyle w:val="TAH"/>
              <w:rPr>
                <w:noProof/>
              </w:rPr>
            </w:pPr>
            <w:r w:rsidRPr="007D2B73">
              <w:rPr>
                <w:noProof/>
              </w:rPr>
              <w:t>Criticality</w:t>
            </w:r>
          </w:p>
        </w:tc>
        <w:tc>
          <w:tcPr>
            <w:tcW w:w="1077" w:type="dxa"/>
          </w:tcPr>
          <w:p w14:paraId="1D1597CB" w14:textId="77777777" w:rsidR="00C840D0" w:rsidRPr="007D2B73" w:rsidRDefault="00C840D0" w:rsidP="00C840D0">
            <w:pPr>
              <w:pStyle w:val="TAH"/>
              <w:rPr>
                <w:noProof/>
              </w:rPr>
            </w:pPr>
            <w:r w:rsidRPr="007D2B73">
              <w:rPr>
                <w:noProof/>
              </w:rPr>
              <w:t>Assigned Criticality</w:t>
            </w:r>
          </w:p>
        </w:tc>
      </w:tr>
      <w:tr w:rsidR="00C840D0" w:rsidRPr="00786B1B" w14:paraId="38C51B06" w14:textId="77777777" w:rsidTr="00BE6A5D">
        <w:tc>
          <w:tcPr>
            <w:tcW w:w="2267" w:type="dxa"/>
          </w:tcPr>
          <w:p w14:paraId="542EFBAF" w14:textId="77777777" w:rsidR="00C840D0" w:rsidRPr="007D2B73" w:rsidRDefault="00C840D0" w:rsidP="00C840D0">
            <w:pPr>
              <w:pStyle w:val="TAL"/>
              <w:rPr>
                <w:noProof/>
              </w:rPr>
            </w:pPr>
            <w:r w:rsidRPr="007D2B73">
              <w:rPr>
                <w:noProof/>
              </w:rPr>
              <w:t>Message Type</w:t>
            </w:r>
          </w:p>
        </w:tc>
        <w:tc>
          <w:tcPr>
            <w:tcW w:w="1020" w:type="dxa"/>
          </w:tcPr>
          <w:p w14:paraId="297A3DC5" w14:textId="77777777" w:rsidR="00C840D0" w:rsidRPr="007D2B73" w:rsidRDefault="00C840D0" w:rsidP="00C840D0">
            <w:pPr>
              <w:pStyle w:val="TAL"/>
              <w:rPr>
                <w:noProof/>
              </w:rPr>
            </w:pPr>
            <w:r w:rsidRPr="007D2B73">
              <w:rPr>
                <w:noProof/>
              </w:rPr>
              <w:t>M</w:t>
            </w:r>
          </w:p>
        </w:tc>
        <w:tc>
          <w:tcPr>
            <w:tcW w:w="1077" w:type="dxa"/>
          </w:tcPr>
          <w:p w14:paraId="51A07632" w14:textId="77777777" w:rsidR="00C840D0" w:rsidRPr="007D2B73" w:rsidRDefault="00C840D0" w:rsidP="00C840D0">
            <w:pPr>
              <w:pStyle w:val="TAL"/>
            </w:pPr>
          </w:p>
        </w:tc>
        <w:tc>
          <w:tcPr>
            <w:tcW w:w="1587" w:type="dxa"/>
          </w:tcPr>
          <w:p w14:paraId="13E34EE2" w14:textId="77777777" w:rsidR="00C840D0" w:rsidRPr="007D2B73" w:rsidRDefault="00C840D0" w:rsidP="00C840D0">
            <w:pPr>
              <w:pStyle w:val="TAL"/>
              <w:rPr>
                <w:noProof/>
                <w:lang w:eastAsia="zh-CN"/>
              </w:rPr>
            </w:pPr>
            <w:r w:rsidRPr="007D2B73">
              <w:rPr>
                <w:rFonts w:hint="eastAsia"/>
                <w:noProof/>
                <w:lang w:eastAsia="zh-CN"/>
              </w:rPr>
              <w:t>9.3.1.1</w:t>
            </w:r>
          </w:p>
        </w:tc>
        <w:tc>
          <w:tcPr>
            <w:tcW w:w="1757" w:type="dxa"/>
          </w:tcPr>
          <w:p w14:paraId="1255EB1A" w14:textId="77777777" w:rsidR="00C840D0" w:rsidRPr="007D2B73" w:rsidRDefault="00C840D0" w:rsidP="00C840D0">
            <w:pPr>
              <w:pStyle w:val="TAL"/>
              <w:rPr>
                <w:noProof/>
              </w:rPr>
            </w:pPr>
          </w:p>
        </w:tc>
        <w:tc>
          <w:tcPr>
            <w:tcW w:w="1077" w:type="dxa"/>
          </w:tcPr>
          <w:p w14:paraId="0529045D" w14:textId="77777777" w:rsidR="00C840D0" w:rsidRPr="007D2B73" w:rsidRDefault="00C840D0" w:rsidP="00C840D0">
            <w:pPr>
              <w:pStyle w:val="TAC"/>
              <w:rPr>
                <w:noProof/>
              </w:rPr>
            </w:pPr>
            <w:r w:rsidRPr="007D2B73">
              <w:rPr>
                <w:noProof/>
              </w:rPr>
              <w:t>YES</w:t>
            </w:r>
          </w:p>
        </w:tc>
        <w:tc>
          <w:tcPr>
            <w:tcW w:w="1077" w:type="dxa"/>
          </w:tcPr>
          <w:p w14:paraId="119914F1" w14:textId="77777777" w:rsidR="00C840D0" w:rsidRPr="007D2B73" w:rsidRDefault="00C840D0" w:rsidP="00C840D0">
            <w:pPr>
              <w:pStyle w:val="TAC"/>
              <w:rPr>
                <w:noProof/>
              </w:rPr>
            </w:pPr>
            <w:r w:rsidRPr="007D2B73">
              <w:rPr>
                <w:noProof/>
              </w:rPr>
              <w:t>reject</w:t>
            </w:r>
          </w:p>
        </w:tc>
      </w:tr>
      <w:tr w:rsidR="00C840D0" w:rsidRPr="00786B1B" w14:paraId="7997F88E" w14:textId="77777777" w:rsidTr="00BE6A5D">
        <w:tc>
          <w:tcPr>
            <w:tcW w:w="2267" w:type="dxa"/>
          </w:tcPr>
          <w:p w14:paraId="7CAA74DE" w14:textId="77777777" w:rsidR="00C840D0" w:rsidRPr="007D2B73" w:rsidRDefault="00C840D0" w:rsidP="00C840D0">
            <w:pPr>
              <w:pStyle w:val="TAL"/>
              <w:rPr>
                <w:noProof/>
              </w:rPr>
            </w:pPr>
            <w:r w:rsidRPr="007D2B73">
              <w:rPr>
                <w:noProof/>
                <w:lang w:eastAsia="ko-KR"/>
              </w:rPr>
              <w:t>AIOTF Identifier</w:t>
            </w:r>
          </w:p>
        </w:tc>
        <w:tc>
          <w:tcPr>
            <w:tcW w:w="1020" w:type="dxa"/>
          </w:tcPr>
          <w:p w14:paraId="325251A0" w14:textId="77777777" w:rsidR="00C840D0" w:rsidRPr="007D2B73" w:rsidRDefault="00C840D0" w:rsidP="00C840D0">
            <w:pPr>
              <w:pStyle w:val="TAL"/>
              <w:rPr>
                <w:noProof/>
              </w:rPr>
            </w:pPr>
            <w:r w:rsidRPr="007D2B73">
              <w:rPr>
                <w:noProof/>
                <w:lang w:eastAsia="zh-CN"/>
              </w:rPr>
              <w:t>M</w:t>
            </w:r>
          </w:p>
        </w:tc>
        <w:tc>
          <w:tcPr>
            <w:tcW w:w="1077" w:type="dxa"/>
          </w:tcPr>
          <w:p w14:paraId="1B122D09" w14:textId="77777777" w:rsidR="00C840D0" w:rsidRPr="007D2B73" w:rsidRDefault="00C840D0" w:rsidP="00C840D0">
            <w:pPr>
              <w:pStyle w:val="TAL"/>
            </w:pPr>
          </w:p>
        </w:tc>
        <w:tc>
          <w:tcPr>
            <w:tcW w:w="1587" w:type="dxa"/>
          </w:tcPr>
          <w:p w14:paraId="235677CE" w14:textId="77777777" w:rsidR="00C840D0" w:rsidRPr="007D2B73" w:rsidRDefault="00C840D0" w:rsidP="00C840D0">
            <w:pPr>
              <w:pStyle w:val="TAL"/>
              <w:rPr>
                <w:noProof/>
                <w:lang w:eastAsia="zh-CN"/>
              </w:rPr>
            </w:pPr>
            <w:r w:rsidRPr="007D2B73">
              <w:rPr>
                <w:noProof/>
                <w:lang w:eastAsia="zh-CN"/>
              </w:rPr>
              <w:t>9.3.3.xx2</w:t>
            </w:r>
          </w:p>
        </w:tc>
        <w:tc>
          <w:tcPr>
            <w:tcW w:w="1757" w:type="dxa"/>
          </w:tcPr>
          <w:p w14:paraId="473EE2E4" w14:textId="77777777" w:rsidR="00C840D0" w:rsidRPr="007D2B73" w:rsidRDefault="00C840D0" w:rsidP="00C840D0">
            <w:pPr>
              <w:pStyle w:val="TAL"/>
              <w:rPr>
                <w:noProof/>
              </w:rPr>
            </w:pPr>
          </w:p>
        </w:tc>
        <w:tc>
          <w:tcPr>
            <w:tcW w:w="1077" w:type="dxa"/>
          </w:tcPr>
          <w:p w14:paraId="5293227D" w14:textId="77777777" w:rsidR="00C840D0" w:rsidRPr="007D2B73" w:rsidRDefault="00C840D0" w:rsidP="00C840D0">
            <w:pPr>
              <w:pStyle w:val="TAC"/>
              <w:rPr>
                <w:noProof/>
              </w:rPr>
            </w:pPr>
            <w:r w:rsidRPr="007D2B73">
              <w:rPr>
                <w:noProof/>
                <w:lang w:eastAsia="ko-KR"/>
              </w:rPr>
              <w:t>YES</w:t>
            </w:r>
          </w:p>
        </w:tc>
        <w:tc>
          <w:tcPr>
            <w:tcW w:w="1077" w:type="dxa"/>
          </w:tcPr>
          <w:p w14:paraId="719EF132" w14:textId="77777777" w:rsidR="00C840D0" w:rsidRPr="007D2B73" w:rsidRDefault="00C840D0" w:rsidP="00C840D0">
            <w:pPr>
              <w:pStyle w:val="TAC"/>
              <w:rPr>
                <w:noProof/>
              </w:rPr>
            </w:pPr>
            <w:r w:rsidRPr="007D2B73">
              <w:rPr>
                <w:noProof/>
                <w:lang w:eastAsia="ko-KR"/>
              </w:rPr>
              <w:t>reject</w:t>
            </w:r>
          </w:p>
        </w:tc>
      </w:tr>
      <w:tr w:rsidR="00C840D0" w:rsidRPr="00786B1B" w14:paraId="1DEEAB71" w14:textId="77777777" w:rsidTr="00BE6A5D">
        <w:tc>
          <w:tcPr>
            <w:tcW w:w="2267" w:type="dxa"/>
          </w:tcPr>
          <w:p w14:paraId="56276748" w14:textId="77777777" w:rsidR="00C840D0" w:rsidRPr="007D2B73" w:rsidRDefault="00C840D0" w:rsidP="00C840D0">
            <w:pPr>
              <w:pStyle w:val="TAL"/>
              <w:rPr>
                <w:noProof/>
              </w:rPr>
            </w:pPr>
            <w:r w:rsidRPr="007D2B73">
              <w:rPr>
                <w:noProof/>
                <w:lang w:eastAsia="ko-KR"/>
              </w:rPr>
              <w:t xml:space="preserve">A-IoT </w:t>
            </w:r>
            <w:r w:rsidRPr="007D2B73">
              <w:rPr>
                <w:rFonts w:hint="eastAsia"/>
                <w:noProof/>
                <w:lang w:eastAsia="ko-KR"/>
              </w:rPr>
              <w:t>C</w:t>
            </w:r>
            <w:r w:rsidRPr="007D2B73">
              <w:rPr>
                <w:noProof/>
                <w:lang w:eastAsia="ko-KR"/>
              </w:rPr>
              <w:t>orrelation Identifier</w:t>
            </w:r>
          </w:p>
        </w:tc>
        <w:tc>
          <w:tcPr>
            <w:tcW w:w="1020" w:type="dxa"/>
          </w:tcPr>
          <w:p w14:paraId="40B20D33" w14:textId="77777777" w:rsidR="00C840D0" w:rsidRPr="007D2B73" w:rsidRDefault="00C840D0" w:rsidP="00C840D0">
            <w:pPr>
              <w:pStyle w:val="TAL"/>
              <w:rPr>
                <w:noProof/>
              </w:rPr>
            </w:pPr>
            <w:r w:rsidRPr="007D2B73">
              <w:rPr>
                <w:rFonts w:hint="eastAsia"/>
                <w:noProof/>
                <w:lang w:eastAsia="zh-CN"/>
              </w:rPr>
              <w:t>M</w:t>
            </w:r>
          </w:p>
        </w:tc>
        <w:tc>
          <w:tcPr>
            <w:tcW w:w="1077" w:type="dxa"/>
          </w:tcPr>
          <w:p w14:paraId="09B1216B" w14:textId="77777777" w:rsidR="00C840D0" w:rsidRPr="007D2B73" w:rsidRDefault="00C840D0" w:rsidP="00C840D0">
            <w:pPr>
              <w:pStyle w:val="TAL"/>
            </w:pPr>
          </w:p>
        </w:tc>
        <w:tc>
          <w:tcPr>
            <w:tcW w:w="1587" w:type="dxa"/>
          </w:tcPr>
          <w:p w14:paraId="6B5BA8B6" w14:textId="77777777" w:rsidR="00C840D0" w:rsidRPr="007D2B73" w:rsidRDefault="00C840D0" w:rsidP="00C840D0">
            <w:pPr>
              <w:pStyle w:val="TAL"/>
              <w:rPr>
                <w:noProof/>
                <w:lang w:eastAsia="zh-CN"/>
              </w:rPr>
            </w:pPr>
            <w:r w:rsidRPr="007D2B73">
              <w:rPr>
                <w:rFonts w:hint="eastAsia"/>
                <w:noProof/>
                <w:lang w:eastAsia="zh-CN"/>
              </w:rPr>
              <w:t>9</w:t>
            </w:r>
            <w:r w:rsidRPr="007D2B73">
              <w:rPr>
                <w:noProof/>
                <w:lang w:eastAsia="zh-CN"/>
              </w:rPr>
              <w:t>.3.3.</w:t>
            </w:r>
            <w:r w:rsidRPr="007D2B73">
              <w:rPr>
                <w:rFonts w:hint="eastAsia"/>
                <w:noProof/>
                <w:lang w:eastAsia="zh-CN"/>
              </w:rPr>
              <w:t>xx</w:t>
            </w:r>
            <w:r w:rsidRPr="007D2B73">
              <w:rPr>
                <w:noProof/>
                <w:lang w:eastAsia="zh-CN"/>
              </w:rPr>
              <w:t>1</w:t>
            </w:r>
          </w:p>
        </w:tc>
        <w:tc>
          <w:tcPr>
            <w:tcW w:w="1757" w:type="dxa"/>
          </w:tcPr>
          <w:p w14:paraId="366439B7" w14:textId="77777777" w:rsidR="00C840D0" w:rsidRPr="007D2B73" w:rsidRDefault="00C840D0" w:rsidP="00C840D0">
            <w:pPr>
              <w:pStyle w:val="TAL"/>
              <w:rPr>
                <w:noProof/>
              </w:rPr>
            </w:pPr>
          </w:p>
        </w:tc>
        <w:tc>
          <w:tcPr>
            <w:tcW w:w="1077" w:type="dxa"/>
          </w:tcPr>
          <w:p w14:paraId="3E06F507" w14:textId="77777777" w:rsidR="00C840D0" w:rsidRPr="007D2B73" w:rsidRDefault="00C840D0" w:rsidP="00C840D0">
            <w:pPr>
              <w:pStyle w:val="TAC"/>
              <w:rPr>
                <w:noProof/>
              </w:rPr>
            </w:pPr>
            <w:r w:rsidRPr="007D2B73">
              <w:rPr>
                <w:noProof/>
                <w:lang w:eastAsia="ko-KR"/>
              </w:rPr>
              <w:t>YES</w:t>
            </w:r>
          </w:p>
        </w:tc>
        <w:tc>
          <w:tcPr>
            <w:tcW w:w="1077" w:type="dxa"/>
          </w:tcPr>
          <w:p w14:paraId="2BF2D553" w14:textId="77777777" w:rsidR="00C840D0" w:rsidRPr="007D2B73" w:rsidRDefault="00C840D0" w:rsidP="00C840D0">
            <w:pPr>
              <w:pStyle w:val="TAC"/>
              <w:rPr>
                <w:noProof/>
              </w:rPr>
            </w:pPr>
            <w:r w:rsidRPr="007D2B73">
              <w:rPr>
                <w:noProof/>
                <w:lang w:eastAsia="ko-KR"/>
              </w:rPr>
              <w:t>reject</w:t>
            </w:r>
          </w:p>
        </w:tc>
      </w:tr>
      <w:tr w:rsidR="00C840D0" w:rsidRPr="001F5312" w14:paraId="67E600F4" w14:textId="77777777" w:rsidTr="00BE6A5D">
        <w:tc>
          <w:tcPr>
            <w:tcW w:w="2267" w:type="dxa"/>
          </w:tcPr>
          <w:p w14:paraId="6833E32B" w14:textId="77777777" w:rsidR="00C840D0" w:rsidRPr="007D2B73" w:rsidRDefault="00C840D0" w:rsidP="00C840D0">
            <w:pPr>
              <w:pStyle w:val="TAL"/>
              <w:rPr>
                <w:noProof/>
              </w:rPr>
            </w:pPr>
            <w:r>
              <w:rPr>
                <w:noProof/>
              </w:rPr>
              <w:t>Inventory Complete Indication</w:t>
            </w:r>
            <w:r w:rsidRPr="007D2B73">
              <w:rPr>
                <w:noProof/>
              </w:rPr>
              <w:t>Transfer</w:t>
            </w:r>
          </w:p>
        </w:tc>
        <w:tc>
          <w:tcPr>
            <w:tcW w:w="1020" w:type="dxa"/>
          </w:tcPr>
          <w:p w14:paraId="299ECFA6" w14:textId="77777777" w:rsidR="00C840D0" w:rsidRPr="007D2B73" w:rsidRDefault="00C840D0" w:rsidP="00C840D0">
            <w:pPr>
              <w:pStyle w:val="TAL"/>
              <w:rPr>
                <w:noProof/>
                <w:lang w:eastAsia="zh-CN"/>
              </w:rPr>
            </w:pPr>
            <w:r w:rsidRPr="007D2B73">
              <w:rPr>
                <w:rFonts w:hint="eastAsia"/>
                <w:noProof/>
                <w:lang w:eastAsia="zh-CN"/>
              </w:rPr>
              <w:t>M</w:t>
            </w:r>
          </w:p>
        </w:tc>
        <w:tc>
          <w:tcPr>
            <w:tcW w:w="1077" w:type="dxa"/>
          </w:tcPr>
          <w:p w14:paraId="4C90E3C7" w14:textId="77777777" w:rsidR="00C840D0" w:rsidRPr="007D2B73" w:rsidRDefault="00C840D0" w:rsidP="00C840D0">
            <w:pPr>
              <w:pStyle w:val="TAL"/>
              <w:rPr>
                <w:noProof/>
              </w:rPr>
            </w:pPr>
          </w:p>
        </w:tc>
        <w:tc>
          <w:tcPr>
            <w:tcW w:w="1587" w:type="dxa"/>
          </w:tcPr>
          <w:p w14:paraId="6D7F2647" w14:textId="77777777" w:rsidR="00C840D0" w:rsidRPr="007D2B73" w:rsidRDefault="00C840D0" w:rsidP="00C840D0">
            <w:pPr>
              <w:pStyle w:val="TAL"/>
              <w:rPr>
                <w:noProof/>
                <w:lang w:eastAsia="zh-CN"/>
              </w:rPr>
            </w:pPr>
            <w:r w:rsidRPr="007D2B73">
              <w:t>OCTET STRING</w:t>
            </w:r>
          </w:p>
        </w:tc>
        <w:tc>
          <w:tcPr>
            <w:tcW w:w="1757" w:type="dxa"/>
          </w:tcPr>
          <w:p w14:paraId="41EC5B98" w14:textId="77777777" w:rsidR="00C840D0" w:rsidRPr="007D2B73" w:rsidRDefault="00C840D0" w:rsidP="00BE6A5D">
            <w:pPr>
              <w:pStyle w:val="TAL"/>
              <w:rPr>
                <w:noProof/>
                <w:lang w:eastAsia="zh-CN"/>
              </w:rPr>
            </w:pPr>
            <w:r w:rsidRPr="00BE6A5D">
              <w:t xml:space="preserve">Containing the </w:t>
            </w:r>
            <w:r w:rsidRPr="00BE6A5D">
              <w:rPr>
                <w:i/>
                <w:iCs/>
              </w:rPr>
              <w:t>Inventory Complete IndicationTransfer</w:t>
            </w:r>
            <w:r w:rsidRPr="00BE6A5D">
              <w:t xml:space="preserve"> IE </w:t>
            </w:r>
          </w:p>
        </w:tc>
        <w:tc>
          <w:tcPr>
            <w:tcW w:w="1077" w:type="dxa"/>
          </w:tcPr>
          <w:p w14:paraId="23829BFB" w14:textId="77777777" w:rsidR="00C840D0" w:rsidRPr="007D2B73" w:rsidRDefault="00C840D0" w:rsidP="00C840D0">
            <w:pPr>
              <w:pStyle w:val="TAC"/>
              <w:rPr>
                <w:noProof/>
              </w:rPr>
            </w:pPr>
            <w:r w:rsidRPr="007D2B73">
              <w:rPr>
                <w:noProof/>
              </w:rPr>
              <w:t>YES</w:t>
            </w:r>
          </w:p>
        </w:tc>
        <w:tc>
          <w:tcPr>
            <w:tcW w:w="1077" w:type="dxa"/>
          </w:tcPr>
          <w:p w14:paraId="64A6A3C7" w14:textId="77777777" w:rsidR="00C840D0" w:rsidRPr="007D2B73" w:rsidRDefault="00C840D0" w:rsidP="00C840D0">
            <w:pPr>
              <w:pStyle w:val="TAC"/>
              <w:rPr>
                <w:noProof/>
              </w:rPr>
            </w:pPr>
            <w:r w:rsidRPr="007D2B73">
              <w:rPr>
                <w:noProof/>
              </w:rPr>
              <w:t>reject</w:t>
            </w:r>
          </w:p>
        </w:tc>
      </w:tr>
    </w:tbl>
    <w:p w14:paraId="23A0D962" w14:textId="0692C74E" w:rsidR="001523AE" w:rsidRPr="00FE5E9B" w:rsidRDefault="00FE5E9B" w:rsidP="001F7DC8">
      <w:pPr>
        <w:rPr>
          <w:b/>
          <w:bCs/>
          <w:u w:val="single"/>
        </w:rPr>
      </w:pPr>
      <w:r>
        <w:br/>
      </w:r>
      <w:r w:rsidRPr="00FE5E9B">
        <w:rPr>
          <w:b/>
          <w:bCs/>
          <w:u w:val="single"/>
        </w:rPr>
        <w:t>Inventory Complete Indication Transfer IE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1523AE" w:rsidRPr="00531638" w14:paraId="099B911A" w14:textId="77777777" w:rsidTr="00B6737F">
        <w:tc>
          <w:tcPr>
            <w:tcW w:w="2267" w:type="dxa"/>
            <w:tcBorders>
              <w:top w:val="single" w:sz="4" w:space="0" w:color="auto"/>
              <w:left w:val="single" w:sz="4" w:space="0" w:color="auto"/>
              <w:bottom w:val="single" w:sz="4" w:space="0" w:color="auto"/>
              <w:right w:val="single" w:sz="4" w:space="0" w:color="auto"/>
            </w:tcBorders>
          </w:tcPr>
          <w:p w14:paraId="0B0E3BB2" w14:textId="77777777" w:rsidR="001523AE" w:rsidRPr="001523AE" w:rsidRDefault="001523AE" w:rsidP="00B6737F">
            <w:pPr>
              <w:pStyle w:val="TAH"/>
            </w:pPr>
            <w:r w:rsidRPr="001523AE">
              <w:t>IE/Group Name</w:t>
            </w:r>
          </w:p>
        </w:tc>
        <w:tc>
          <w:tcPr>
            <w:tcW w:w="1020" w:type="dxa"/>
            <w:tcBorders>
              <w:top w:val="single" w:sz="4" w:space="0" w:color="auto"/>
              <w:left w:val="single" w:sz="4" w:space="0" w:color="auto"/>
              <w:bottom w:val="single" w:sz="4" w:space="0" w:color="auto"/>
              <w:right w:val="single" w:sz="4" w:space="0" w:color="auto"/>
            </w:tcBorders>
          </w:tcPr>
          <w:p w14:paraId="3C14C28D" w14:textId="77777777" w:rsidR="001523AE" w:rsidRPr="001523AE" w:rsidRDefault="001523AE" w:rsidP="00B6737F">
            <w:pPr>
              <w:pStyle w:val="TAH"/>
            </w:pPr>
            <w:r w:rsidRPr="001523AE">
              <w:t>Presence</w:t>
            </w:r>
          </w:p>
        </w:tc>
        <w:tc>
          <w:tcPr>
            <w:tcW w:w="1077" w:type="dxa"/>
            <w:tcBorders>
              <w:top w:val="single" w:sz="4" w:space="0" w:color="auto"/>
              <w:left w:val="single" w:sz="4" w:space="0" w:color="auto"/>
              <w:bottom w:val="single" w:sz="4" w:space="0" w:color="auto"/>
              <w:right w:val="single" w:sz="4" w:space="0" w:color="auto"/>
            </w:tcBorders>
          </w:tcPr>
          <w:p w14:paraId="03787F7B" w14:textId="77777777" w:rsidR="001523AE" w:rsidRPr="001523AE" w:rsidRDefault="001523AE" w:rsidP="00B6737F">
            <w:pPr>
              <w:pStyle w:val="TAH"/>
            </w:pPr>
            <w:r w:rsidRPr="001523AE">
              <w:t>Range</w:t>
            </w:r>
          </w:p>
        </w:tc>
        <w:tc>
          <w:tcPr>
            <w:tcW w:w="1587" w:type="dxa"/>
            <w:tcBorders>
              <w:top w:val="single" w:sz="4" w:space="0" w:color="auto"/>
              <w:left w:val="single" w:sz="4" w:space="0" w:color="auto"/>
              <w:bottom w:val="single" w:sz="4" w:space="0" w:color="auto"/>
              <w:right w:val="single" w:sz="4" w:space="0" w:color="auto"/>
            </w:tcBorders>
          </w:tcPr>
          <w:p w14:paraId="40BF4682" w14:textId="77777777" w:rsidR="001523AE" w:rsidRPr="001523AE" w:rsidRDefault="001523AE" w:rsidP="00B6737F">
            <w:pPr>
              <w:pStyle w:val="TAH"/>
            </w:pPr>
            <w:r w:rsidRPr="001523AE">
              <w:t>IE type and reference</w:t>
            </w:r>
          </w:p>
        </w:tc>
        <w:tc>
          <w:tcPr>
            <w:tcW w:w="3116" w:type="dxa"/>
            <w:tcBorders>
              <w:top w:val="single" w:sz="4" w:space="0" w:color="auto"/>
              <w:left w:val="single" w:sz="4" w:space="0" w:color="auto"/>
              <w:bottom w:val="single" w:sz="4" w:space="0" w:color="auto"/>
              <w:right w:val="single" w:sz="4" w:space="0" w:color="auto"/>
            </w:tcBorders>
          </w:tcPr>
          <w:p w14:paraId="0500C53E" w14:textId="77777777" w:rsidR="001523AE" w:rsidRPr="001523AE" w:rsidRDefault="001523AE" w:rsidP="00B6737F">
            <w:pPr>
              <w:pStyle w:val="TAH"/>
            </w:pPr>
            <w:r w:rsidRPr="001523AE">
              <w:t>Semantics description</w:t>
            </w:r>
          </w:p>
        </w:tc>
      </w:tr>
      <w:tr w:rsidR="001523AE" w:rsidRPr="00531638" w14:paraId="41790392" w14:textId="77777777" w:rsidTr="00B6737F">
        <w:tc>
          <w:tcPr>
            <w:tcW w:w="2267" w:type="dxa"/>
            <w:tcBorders>
              <w:top w:val="single" w:sz="4" w:space="0" w:color="auto"/>
              <w:left w:val="single" w:sz="4" w:space="0" w:color="auto"/>
              <w:bottom w:val="single" w:sz="4" w:space="0" w:color="auto"/>
              <w:right w:val="single" w:sz="4" w:space="0" w:color="auto"/>
            </w:tcBorders>
          </w:tcPr>
          <w:p w14:paraId="301A410D" w14:textId="05D80E96" w:rsidR="00FE5E9B" w:rsidRPr="001523AE" w:rsidRDefault="001523AE" w:rsidP="00B6737F">
            <w:pPr>
              <w:pStyle w:val="TAL"/>
              <w:rPr>
                <w:noProof/>
                <w:lang w:eastAsia="ko-KR"/>
              </w:rPr>
            </w:pPr>
            <w:r w:rsidRPr="001523AE">
              <w:rPr>
                <w:noProof/>
                <w:lang w:eastAsia="ko-KR"/>
              </w:rPr>
              <w:t xml:space="preserve">A-IoT </w:t>
            </w:r>
            <w:r w:rsidRPr="001523AE">
              <w:rPr>
                <w:rFonts w:hint="eastAsia"/>
                <w:noProof/>
                <w:lang w:eastAsia="ko-KR"/>
              </w:rPr>
              <w:t>C</w:t>
            </w:r>
            <w:r w:rsidRPr="001523AE">
              <w:rPr>
                <w:noProof/>
                <w:lang w:eastAsia="ko-KR"/>
              </w:rPr>
              <w:t>orrelation Identifier</w:t>
            </w:r>
          </w:p>
        </w:tc>
        <w:tc>
          <w:tcPr>
            <w:tcW w:w="1020" w:type="dxa"/>
            <w:tcBorders>
              <w:top w:val="single" w:sz="4" w:space="0" w:color="auto"/>
              <w:left w:val="single" w:sz="4" w:space="0" w:color="auto"/>
              <w:bottom w:val="single" w:sz="4" w:space="0" w:color="auto"/>
              <w:right w:val="single" w:sz="4" w:space="0" w:color="auto"/>
            </w:tcBorders>
          </w:tcPr>
          <w:p w14:paraId="7A3E68CF" w14:textId="77777777" w:rsidR="001523AE" w:rsidRPr="001523AE" w:rsidRDefault="001523AE" w:rsidP="00B6737F">
            <w:pPr>
              <w:pStyle w:val="TAL"/>
              <w:rPr>
                <w:noProof/>
                <w:lang w:eastAsia="zh-CN"/>
              </w:rPr>
            </w:pPr>
            <w:r w:rsidRPr="001523AE">
              <w:rPr>
                <w:rFonts w:hint="eastAsia"/>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747CC47" w14:textId="77777777" w:rsidR="001523AE" w:rsidRPr="001523AE" w:rsidRDefault="001523AE" w:rsidP="00B6737F">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8749C08" w14:textId="77777777" w:rsidR="001523AE" w:rsidRPr="001523AE" w:rsidRDefault="001523AE" w:rsidP="00B6737F">
            <w:pPr>
              <w:pStyle w:val="TAL"/>
              <w:rPr>
                <w:bCs/>
                <w:noProof/>
                <w:lang w:eastAsia="zh-CN"/>
              </w:rPr>
            </w:pPr>
            <w:r w:rsidRPr="001523AE">
              <w:rPr>
                <w:rFonts w:hint="eastAsia"/>
                <w:noProof/>
                <w:lang w:eastAsia="zh-CN"/>
              </w:rPr>
              <w:t>9</w:t>
            </w:r>
            <w:r w:rsidRPr="001523AE">
              <w:rPr>
                <w:noProof/>
                <w:lang w:eastAsia="zh-CN"/>
              </w:rPr>
              <w:t>.3.3.</w:t>
            </w:r>
            <w:r w:rsidRPr="001523AE">
              <w:rPr>
                <w:rFonts w:hint="eastAsia"/>
                <w:noProof/>
                <w:lang w:eastAsia="zh-CN"/>
              </w:rPr>
              <w:t>xx</w:t>
            </w:r>
            <w:r w:rsidRPr="001523AE">
              <w:rPr>
                <w:noProof/>
                <w:lang w:eastAsia="zh-CN"/>
              </w:rPr>
              <w:t>1</w:t>
            </w:r>
          </w:p>
        </w:tc>
        <w:tc>
          <w:tcPr>
            <w:tcW w:w="3116" w:type="dxa"/>
            <w:tcBorders>
              <w:top w:val="single" w:sz="4" w:space="0" w:color="auto"/>
              <w:left w:val="single" w:sz="4" w:space="0" w:color="auto"/>
              <w:bottom w:val="single" w:sz="4" w:space="0" w:color="auto"/>
              <w:right w:val="single" w:sz="4" w:space="0" w:color="auto"/>
            </w:tcBorders>
          </w:tcPr>
          <w:p w14:paraId="1C92A963" w14:textId="77777777" w:rsidR="001523AE" w:rsidRPr="001523AE" w:rsidRDefault="001523AE" w:rsidP="00B6737F">
            <w:pPr>
              <w:pStyle w:val="TAL"/>
              <w:rPr>
                <w:lang w:eastAsia="ja-JP"/>
              </w:rPr>
            </w:pPr>
          </w:p>
        </w:tc>
      </w:tr>
      <w:tr w:rsidR="00FE5E9B" w:rsidRPr="00531638" w14:paraId="52F99C26" w14:textId="77777777" w:rsidTr="00B6737F">
        <w:tc>
          <w:tcPr>
            <w:tcW w:w="2267" w:type="dxa"/>
            <w:tcBorders>
              <w:top w:val="single" w:sz="4" w:space="0" w:color="auto"/>
              <w:left w:val="single" w:sz="4" w:space="0" w:color="auto"/>
              <w:bottom w:val="single" w:sz="4" w:space="0" w:color="auto"/>
              <w:right w:val="single" w:sz="4" w:space="0" w:color="auto"/>
            </w:tcBorders>
          </w:tcPr>
          <w:p w14:paraId="478FED6E" w14:textId="4281BD83" w:rsidR="00FE5E9B" w:rsidRPr="001523AE" w:rsidRDefault="00FE5E9B" w:rsidP="00B6737F">
            <w:pPr>
              <w:pStyle w:val="TAL"/>
              <w:rPr>
                <w:noProof/>
                <w:lang w:eastAsia="ko-KR"/>
              </w:rPr>
            </w:pPr>
            <w:r>
              <w:rPr>
                <w:noProof/>
                <w:lang w:eastAsia="ko-KR"/>
              </w:rPr>
              <w:t>Inventory Completion Indicator</w:t>
            </w:r>
          </w:p>
        </w:tc>
        <w:tc>
          <w:tcPr>
            <w:tcW w:w="1020" w:type="dxa"/>
            <w:tcBorders>
              <w:top w:val="single" w:sz="4" w:space="0" w:color="auto"/>
              <w:left w:val="single" w:sz="4" w:space="0" w:color="auto"/>
              <w:bottom w:val="single" w:sz="4" w:space="0" w:color="auto"/>
              <w:right w:val="single" w:sz="4" w:space="0" w:color="auto"/>
            </w:tcBorders>
          </w:tcPr>
          <w:p w14:paraId="77946030" w14:textId="298799B7" w:rsidR="00FE5E9B" w:rsidRPr="001523AE" w:rsidRDefault="00FE5E9B" w:rsidP="00B6737F">
            <w:pPr>
              <w:pStyle w:val="TAL"/>
              <w:rPr>
                <w:noProof/>
                <w:lang w:eastAsia="zh-CN"/>
              </w:rPr>
            </w:pPr>
            <w:r>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23AF95E" w14:textId="77777777" w:rsidR="00FE5E9B" w:rsidRPr="001523AE" w:rsidRDefault="00FE5E9B" w:rsidP="00B6737F">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B7D3C39" w14:textId="57C47DB8" w:rsidR="00FE5E9B" w:rsidRPr="001523AE" w:rsidRDefault="00FE5E9B" w:rsidP="00B6737F">
            <w:pPr>
              <w:pStyle w:val="TAL"/>
              <w:rPr>
                <w:noProof/>
                <w:lang w:eastAsia="zh-CN"/>
              </w:rPr>
            </w:pPr>
            <w:r>
              <w:rPr>
                <w:noProof/>
                <w:lang w:eastAsia="zh-CN"/>
              </w:rPr>
              <w:t>Enumerated(true, )</w:t>
            </w:r>
          </w:p>
        </w:tc>
        <w:tc>
          <w:tcPr>
            <w:tcW w:w="3116" w:type="dxa"/>
            <w:tcBorders>
              <w:top w:val="single" w:sz="4" w:space="0" w:color="auto"/>
              <w:left w:val="single" w:sz="4" w:space="0" w:color="auto"/>
              <w:bottom w:val="single" w:sz="4" w:space="0" w:color="auto"/>
              <w:right w:val="single" w:sz="4" w:space="0" w:color="auto"/>
            </w:tcBorders>
          </w:tcPr>
          <w:p w14:paraId="0E7C55F0" w14:textId="202EE7DD" w:rsidR="00FE5E9B" w:rsidRPr="001523AE" w:rsidRDefault="00FE5E9B" w:rsidP="00B6737F">
            <w:pPr>
              <w:pStyle w:val="TAL"/>
              <w:rPr>
                <w:lang w:eastAsia="ja-JP"/>
              </w:rPr>
            </w:pPr>
            <w:r>
              <w:rPr>
                <w:lang w:eastAsia="ja-JP"/>
              </w:rPr>
              <w:t xml:space="preserve">Indicate the completion of inventory </w:t>
            </w:r>
          </w:p>
        </w:tc>
      </w:tr>
    </w:tbl>
    <w:p w14:paraId="55F42070" w14:textId="77777777" w:rsidR="00FE5E9B" w:rsidRDefault="00FE5E9B" w:rsidP="001F7DC8">
      <w:pPr>
        <w:rPr>
          <w:b/>
          <w:bCs/>
        </w:rPr>
      </w:pPr>
      <w:bookmarkStart w:id="2" w:name="_Hlk204605059"/>
    </w:p>
    <w:p w14:paraId="7715394F" w14:textId="36892548" w:rsidR="00FE5E9B" w:rsidRDefault="00FE5E9B" w:rsidP="001F7DC8">
      <w:pPr>
        <w:rPr>
          <w:b/>
          <w:bCs/>
        </w:rPr>
      </w:pPr>
      <w:r w:rsidRPr="007D2B73">
        <w:rPr>
          <w:b/>
          <w:bCs/>
        </w:rPr>
        <w:t>Proposal 3:</w:t>
      </w:r>
      <w:r w:rsidR="008B43D2">
        <w:rPr>
          <w:b/>
          <w:bCs/>
        </w:rPr>
        <w:t xml:space="preserve"> </w:t>
      </w:r>
      <w:r>
        <w:rPr>
          <w:b/>
          <w:bCs/>
        </w:rPr>
        <w:t xml:space="preserve">Support the </w:t>
      </w:r>
      <w:r w:rsidRPr="007D2B73">
        <w:rPr>
          <w:b/>
          <w:bCs/>
        </w:rPr>
        <w:t>introdu</w:t>
      </w:r>
      <w:r>
        <w:rPr>
          <w:b/>
          <w:bCs/>
        </w:rPr>
        <w:t xml:space="preserve">ction of </w:t>
      </w:r>
      <w:r w:rsidRPr="007D2B73">
        <w:rPr>
          <w:b/>
          <w:bCs/>
        </w:rPr>
        <w:t>the Inventory complete indication as a separate Class 2 procedure</w:t>
      </w:r>
      <w:r>
        <w:rPr>
          <w:b/>
          <w:bCs/>
        </w:rPr>
        <w:t>.</w:t>
      </w:r>
      <w:bookmarkEnd w:id="2"/>
    </w:p>
    <w:p w14:paraId="2528A975" w14:textId="07A8F03E" w:rsidR="001523AE" w:rsidRPr="00FE5E9B" w:rsidRDefault="00FE5E9B" w:rsidP="001F7DC8">
      <w:pPr>
        <w:rPr>
          <w:b/>
          <w:bCs/>
          <w:sz w:val="30"/>
          <w:szCs w:val="30"/>
        </w:rPr>
      </w:pPr>
      <w:r w:rsidRPr="005367E1">
        <w:rPr>
          <w:b/>
          <w:bCs/>
          <w:sz w:val="30"/>
          <w:szCs w:val="30"/>
        </w:rPr>
        <w:t xml:space="preserve">2.3 Command Type in </w:t>
      </w:r>
      <w:r>
        <w:rPr>
          <w:b/>
          <w:bCs/>
          <w:sz w:val="30"/>
          <w:szCs w:val="30"/>
        </w:rPr>
        <w:t>C</w:t>
      </w:r>
      <w:r w:rsidRPr="005367E1">
        <w:rPr>
          <w:b/>
          <w:bCs/>
          <w:sz w:val="30"/>
          <w:szCs w:val="30"/>
        </w:rPr>
        <w:t>ommand request</w:t>
      </w:r>
    </w:p>
    <w:p w14:paraId="331E9F85" w14:textId="7567A138" w:rsidR="001F7DC8" w:rsidRPr="001F7DC8" w:rsidRDefault="00595C55" w:rsidP="001F7DC8">
      <w:pPr>
        <w:rPr>
          <w:b/>
          <w:bCs/>
        </w:rPr>
      </w:pPr>
      <w:r>
        <w:t>The main interest of introducing Command Type in Command request is to implicitly inform the gNB the expected size of D2R message and allocate the necessary resources for it. But Expected D2R size is already agreed and included in the command request. So, we propose to not include Command Type in the command request.</w:t>
      </w:r>
      <w:r>
        <w:br/>
      </w:r>
      <w:bookmarkStart w:id="3" w:name="_Hlk204605081"/>
      <w:r>
        <w:br/>
      </w:r>
      <w:r w:rsidRPr="00595C55">
        <w:rPr>
          <w:b/>
          <w:bCs/>
        </w:rPr>
        <w:t>Proposal 4: Propose to not include the Command Type in the Command request</w:t>
      </w:r>
      <w:r>
        <w:rPr>
          <w:b/>
          <w:bCs/>
        </w:rPr>
        <w:t xml:space="preserve"> message</w:t>
      </w:r>
      <w:r w:rsidRPr="00595C55">
        <w:rPr>
          <w:b/>
          <w:bCs/>
        </w:rPr>
        <w:t>.</w:t>
      </w:r>
      <w:bookmarkEnd w:id="3"/>
    </w:p>
    <w:p w14:paraId="2818ABDA" w14:textId="4BD2BC9E" w:rsidR="000F316F" w:rsidRDefault="000F316F" w:rsidP="00FE5E9B">
      <w:pPr>
        <w:pBdr>
          <w:top w:val="single" w:sz="4" w:space="1" w:color="auto"/>
        </w:pBdr>
        <w:rPr>
          <w:rFonts w:ascii="Arial" w:hAnsi="Arial" w:cs="Arial"/>
          <w:sz w:val="36"/>
          <w:szCs w:val="36"/>
        </w:rPr>
      </w:pPr>
      <w:r>
        <w:br/>
      </w:r>
      <w:r w:rsidRPr="000F316F">
        <w:rPr>
          <w:rFonts w:ascii="Arial" w:hAnsi="Arial" w:cs="Arial"/>
          <w:sz w:val="36"/>
          <w:szCs w:val="36"/>
        </w:rPr>
        <w:t>3.Conclusions</w:t>
      </w:r>
    </w:p>
    <w:p w14:paraId="36AC26B0" w14:textId="77777777" w:rsidR="000A0CE2" w:rsidRDefault="000A0CE2" w:rsidP="00FE5E9B">
      <w:pPr>
        <w:pBdr>
          <w:top w:val="single" w:sz="4" w:space="1" w:color="auto"/>
        </w:pBdr>
        <w:rPr>
          <w:b/>
          <w:bCs/>
        </w:rPr>
      </w:pPr>
      <w:r w:rsidRPr="008E1F04">
        <w:rPr>
          <w:b/>
          <w:bCs/>
        </w:rPr>
        <w:t>Proposal 1: Introduce an optional Time Interval parameter in the Inventory Request, as recommended in 3GPP TS 23.369. This enhancement will help reduce signalling overhead and enable better synchronization across the service.</w:t>
      </w:r>
    </w:p>
    <w:p w14:paraId="51ACA88B" w14:textId="4BA40EA9" w:rsidR="001F7DC8" w:rsidRDefault="000A0CE2" w:rsidP="00FE5E9B">
      <w:pPr>
        <w:pBdr>
          <w:top w:val="single" w:sz="4" w:space="1" w:color="auto"/>
        </w:pBdr>
        <w:rPr>
          <w:b/>
          <w:bCs/>
        </w:rPr>
      </w:pPr>
      <w:r w:rsidRPr="0058588E">
        <w:rPr>
          <w:b/>
          <w:bCs/>
        </w:rPr>
        <w:t>Proposal 2: Propose to introduce inventory complete indication in the command after inventory scenario also.</w:t>
      </w:r>
      <w:r w:rsidRPr="003F7258">
        <w:t xml:space="preserve"> </w:t>
      </w:r>
      <w:r w:rsidRPr="003F7258">
        <w:rPr>
          <w:b/>
          <w:bCs/>
        </w:rPr>
        <w:t>This will ensure clarity on service completion, reduce resource wastage, and improve overall system efficiency.</w:t>
      </w:r>
    </w:p>
    <w:p w14:paraId="47A9E94E" w14:textId="2EB0AD63" w:rsidR="001F7DC8" w:rsidRDefault="000A0CE2" w:rsidP="00FE5E9B">
      <w:pPr>
        <w:pBdr>
          <w:top w:val="single" w:sz="4" w:space="1" w:color="auto"/>
        </w:pBdr>
        <w:rPr>
          <w:b/>
          <w:bCs/>
        </w:rPr>
      </w:pPr>
      <w:r w:rsidRPr="001D2F1F">
        <w:rPr>
          <w:b/>
          <w:bCs/>
        </w:rPr>
        <w:t xml:space="preserve">Observation </w:t>
      </w:r>
      <w:r w:rsidR="00FF533C" w:rsidRPr="001D2F1F">
        <w:rPr>
          <w:b/>
          <w:bCs/>
        </w:rPr>
        <w:t>1: Using</w:t>
      </w:r>
      <w:r w:rsidRPr="001D2F1F">
        <w:rPr>
          <w:b/>
          <w:bCs/>
        </w:rPr>
        <w:t xml:space="preserve"> the Session Release Request procedure</w:t>
      </w:r>
      <w:r>
        <w:rPr>
          <w:b/>
          <w:bCs/>
        </w:rPr>
        <w:t xml:space="preserve"> which was </w:t>
      </w:r>
      <w:r w:rsidRPr="001D2F1F">
        <w:rPr>
          <w:b/>
          <w:bCs/>
        </w:rPr>
        <w:t>agreed upon in the last meeting</w:t>
      </w:r>
      <w:r>
        <w:rPr>
          <w:b/>
          <w:bCs/>
        </w:rPr>
        <w:t xml:space="preserve"> </w:t>
      </w:r>
      <w:r w:rsidRPr="001D2F1F">
        <w:rPr>
          <w:b/>
          <w:bCs/>
        </w:rPr>
        <w:t>for indicating Inventory Completion may lead to premature session termination in Command-After-Inventory scenarios. This approach risks releasing the session before the service is fully completed, potentially interrupting the ongoing command procedure</w:t>
      </w:r>
      <w:r w:rsidR="001F7DC8" w:rsidRPr="00587B18">
        <w:rPr>
          <w:b/>
          <w:bCs/>
        </w:rPr>
        <w:t>.</w:t>
      </w:r>
    </w:p>
    <w:p w14:paraId="19651E3E" w14:textId="58BB399F" w:rsidR="000A0CE2" w:rsidRDefault="000A0CE2" w:rsidP="00FE5E9B">
      <w:pPr>
        <w:pBdr>
          <w:top w:val="single" w:sz="4" w:space="1" w:color="auto"/>
        </w:pBdr>
        <w:rPr>
          <w:b/>
          <w:bCs/>
        </w:rPr>
      </w:pPr>
      <w:r w:rsidRPr="00587B18">
        <w:rPr>
          <w:b/>
          <w:bCs/>
        </w:rPr>
        <w:t xml:space="preserve">Observation 2: </w:t>
      </w:r>
      <w:r w:rsidRPr="001D2F1F">
        <w:rPr>
          <w:b/>
          <w:bCs/>
        </w:rPr>
        <w:t xml:space="preserve">There is a possibility that the inventory report may contain only the Inventory Complete Indication </w:t>
      </w:r>
      <w:r w:rsidR="00FF533C" w:rsidRPr="001D2F1F">
        <w:rPr>
          <w:b/>
          <w:bCs/>
        </w:rPr>
        <w:t>IE</w:t>
      </w:r>
      <w:r w:rsidR="00FF533C">
        <w:rPr>
          <w:b/>
          <w:bCs/>
        </w:rPr>
        <w:t>, which</w:t>
      </w:r>
      <w:r w:rsidRPr="001D2F1F">
        <w:rPr>
          <w:b/>
          <w:bCs/>
        </w:rPr>
        <w:t xml:space="preserve"> is not ideal</w:t>
      </w:r>
      <w:r>
        <w:rPr>
          <w:b/>
          <w:bCs/>
        </w:rPr>
        <w:t>.</w:t>
      </w:r>
    </w:p>
    <w:p w14:paraId="122531FF" w14:textId="7733CDA5" w:rsidR="001F7DC8" w:rsidRPr="001F7DC8" w:rsidRDefault="001F7DC8" w:rsidP="00FE5E9B">
      <w:pPr>
        <w:pBdr>
          <w:top w:val="single" w:sz="4" w:space="1" w:color="auto"/>
        </w:pBdr>
        <w:rPr>
          <w:b/>
          <w:bCs/>
        </w:rPr>
      </w:pPr>
      <w:r w:rsidRPr="001F7DC8">
        <w:rPr>
          <w:b/>
          <w:bCs/>
        </w:rPr>
        <w:t>Proposal 3:</w:t>
      </w:r>
      <w:r>
        <w:rPr>
          <w:b/>
          <w:bCs/>
        </w:rPr>
        <w:t xml:space="preserve"> </w:t>
      </w:r>
      <w:r w:rsidRPr="001F7DC8">
        <w:rPr>
          <w:b/>
          <w:bCs/>
        </w:rPr>
        <w:t>Support the introduction of the Inventory complete indication as a separate Class 2 procedure.</w:t>
      </w:r>
    </w:p>
    <w:p w14:paraId="6FCA580F" w14:textId="05F1E429" w:rsidR="001523AE" w:rsidRPr="00FE5E9B" w:rsidRDefault="001F7DC8" w:rsidP="00FE5E9B">
      <w:pPr>
        <w:pBdr>
          <w:top w:val="single" w:sz="4" w:space="1" w:color="auto"/>
        </w:pBdr>
        <w:spacing w:after="0"/>
        <w:rPr>
          <w:b/>
          <w:bCs/>
        </w:rPr>
      </w:pPr>
      <w:r w:rsidRPr="001F7DC8">
        <w:rPr>
          <w:b/>
          <w:bCs/>
        </w:rPr>
        <w:t>Proposal 4: Propose to not include the Command Type in the Command request message</w:t>
      </w:r>
      <w:r w:rsidR="00FE5E9B">
        <w:rPr>
          <w:b/>
          <w:bCs/>
        </w:rPr>
        <w:t>.</w:t>
      </w:r>
    </w:p>
    <w:sectPr w:rsidR="001523AE" w:rsidRPr="00FE5E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AC24FF"/>
    <w:multiLevelType w:val="hybridMultilevel"/>
    <w:tmpl w:val="07AED6DC"/>
    <w:lvl w:ilvl="0" w:tplc="33ACD1E6">
      <w:start w:val="1"/>
      <w:numFmt w:val="decimal"/>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EF55E4"/>
    <w:multiLevelType w:val="hybridMultilevel"/>
    <w:tmpl w:val="EEB05F08"/>
    <w:lvl w:ilvl="0" w:tplc="BDC25AAC">
      <w:numFmt w:val="bullet"/>
      <w:lvlText w:val="-"/>
      <w:lvlJc w:val="left"/>
      <w:pPr>
        <w:ind w:left="360" w:hanging="360"/>
      </w:pPr>
      <w:rPr>
        <w:rFonts w:ascii="Calibri" w:eastAsia="MS Mincho"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46306706"/>
    <w:multiLevelType w:val="hybridMultilevel"/>
    <w:tmpl w:val="4A62F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6A002D"/>
    <w:multiLevelType w:val="hybridMultilevel"/>
    <w:tmpl w:val="DAACB5F6"/>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423"/>
    <w:rsid w:val="0000759E"/>
    <w:rsid w:val="000A0CE2"/>
    <w:rsid w:val="000F316F"/>
    <w:rsid w:val="00150C9A"/>
    <w:rsid w:val="001523AE"/>
    <w:rsid w:val="001C0285"/>
    <w:rsid w:val="001D2F1F"/>
    <w:rsid w:val="001E56F0"/>
    <w:rsid w:val="001F7DC8"/>
    <w:rsid w:val="00301A99"/>
    <w:rsid w:val="00304C03"/>
    <w:rsid w:val="00317658"/>
    <w:rsid w:val="003231FA"/>
    <w:rsid w:val="00327A7B"/>
    <w:rsid w:val="003F7258"/>
    <w:rsid w:val="00423959"/>
    <w:rsid w:val="00477C71"/>
    <w:rsid w:val="004B799A"/>
    <w:rsid w:val="004C2BA5"/>
    <w:rsid w:val="00504F6D"/>
    <w:rsid w:val="005058E8"/>
    <w:rsid w:val="005367E1"/>
    <w:rsid w:val="0058588E"/>
    <w:rsid w:val="00587B18"/>
    <w:rsid w:val="00595C55"/>
    <w:rsid w:val="005D7E57"/>
    <w:rsid w:val="00627C1E"/>
    <w:rsid w:val="00636DD4"/>
    <w:rsid w:val="00657830"/>
    <w:rsid w:val="0069182E"/>
    <w:rsid w:val="006D70FB"/>
    <w:rsid w:val="006E7771"/>
    <w:rsid w:val="007141D5"/>
    <w:rsid w:val="007D2B73"/>
    <w:rsid w:val="007F11B6"/>
    <w:rsid w:val="0080063C"/>
    <w:rsid w:val="008178C0"/>
    <w:rsid w:val="00825E8C"/>
    <w:rsid w:val="00826511"/>
    <w:rsid w:val="008562CC"/>
    <w:rsid w:val="00874324"/>
    <w:rsid w:val="00880D6A"/>
    <w:rsid w:val="008B43D2"/>
    <w:rsid w:val="008E1F04"/>
    <w:rsid w:val="009A5E62"/>
    <w:rsid w:val="00A73E6A"/>
    <w:rsid w:val="00AE00D6"/>
    <w:rsid w:val="00B85846"/>
    <w:rsid w:val="00BE6A5D"/>
    <w:rsid w:val="00C51449"/>
    <w:rsid w:val="00C52FE6"/>
    <w:rsid w:val="00C840D0"/>
    <w:rsid w:val="00D27AB0"/>
    <w:rsid w:val="00D6271C"/>
    <w:rsid w:val="00D87DFB"/>
    <w:rsid w:val="00DE5119"/>
    <w:rsid w:val="00DE5B6F"/>
    <w:rsid w:val="00E9780F"/>
    <w:rsid w:val="00EB469D"/>
    <w:rsid w:val="00EE285D"/>
    <w:rsid w:val="00F847DA"/>
    <w:rsid w:val="00FE3423"/>
    <w:rsid w:val="00FE5E9B"/>
    <w:rsid w:val="00FF533C"/>
    <w:rsid w:val="00FF6DB6"/>
    <w:rsid w:val="06E80DD3"/>
    <w:rsid w:val="075316F8"/>
    <w:rsid w:val="086854F1"/>
    <w:rsid w:val="088D92C1"/>
    <w:rsid w:val="0B63815E"/>
    <w:rsid w:val="0D2F63F6"/>
    <w:rsid w:val="0F6AF0EC"/>
    <w:rsid w:val="0FB89F29"/>
    <w:rsid w:val="106D7288"/>
    <w:rsid w:val="109CF3D7"/>
    <w:rsid w:val="124F47ED"/>
    <w:rsid w:val="129B63B8"/>
    <w:rsid w:val="14542389"/>
    <w:rsid w:val="147663B8"/>
    <w:rsid w:val="149C4426"/>
    <w:rsid w:val="164D103F"/>
    <w:rsid w:val="17063FF4"/>
    <w:rsid w:val="1A1FD096"/>
    <w:rsid w:val="1AA63DE6"/>
    <w:rsid w:val="1AD41FB1"/>
    <w:rsid w:val="1B778C43"/>
    <w:rsid w:val="1C168AEF"/>
    <w:rsid w:val="1C3073C8"/>
    <w:rsid w:val="1EBB383A"/>
    <w:rsid w:val="20367168"/>
    <w:rsid w:val="20F4DA5B"/>
    <w:rsid w:val="21202D3A"/>
    <w:rsid w:val="219CFD58"/>
    <w:rsid w:val="21DF03CA"/>
    <w:rsid w:val="236293C6"/>
    <w:rsid w:val="25FF456D"/>
    <w:rsid w:val="2709D421"/>
    <w:rsid w:val="2892414E"/>
    <w:rsid w:val="28C2B266"/>
    <w:rsid w:val="2ADD0FCB"/>
    <w:rsid w:val="2AEBA3C3"/>
    <w:rsid w:val="2B02D407"/>
    <w:rsid w:val="2D19B730"/>
    <w:rsid w:val="2EF2C534"/>
    <w:rsid w:val="2F73FB19"/>
    <w:rsid w:val="301BA118"/>
    <w:rsid w:val="33EDC303"/>
    <w:rsid w:val="342EF127"/>
    <w:rsid w:val="35710FA5"/>
    <w:rsid w:val="361DD9A3"/>
    <w:rsid w:val="3643DCA1"/>
    <w:rsid w:val="36583E25"/>
    <w:rsid w:val="36A0CA36"/>
    <w:rsid w:val="37043287"/>
    <w:rsid w:val="3715CBF0"/>
    <w:rsid w:val="37E3AA57"/>
    <w:rsid w:val="3E3C98CF"/>
    <w:rsid w:val="3E95FEA5"/>
    <w:rsid w:val="40A00544"/>
    <w:rsid w:val="4348A5E3"/>
    <w:rsid w:val="4553C575"/>
    <w:rsid w:val="461200BE"/>
    <w:rsid w:val="462563BD"/>
    <w:rsid w:val="4646FA0D"/>
    <w:rsid w:val="47746F88"/>
    <w:rsid w:val="49800464"/>
    <w:rsid w:val="4CBE6D08"/>
    <w:rsid w:val="4EC794D9"/>
    <w:rsid w:val="4F959EFD"/>
    <w:rsid w:val="514F9F83"/>
    <w:rsid w:val="5201A6DF"/>
    <w:rsid w:val="542F9BDB"/>
    <w:rsid w:val="54E51BE3"/>
    <w:rsid w:val="57C8E9AF"/>
    <w:rsid w:val="58C12DCF"/>
    <w:rsid w:val="58DF1C51"/>
    <w:rsid w:val="5A142DDD"/>
    <w:rsid w:val="5B01309D"/>
    <w:rsid w:val="5F9B9808"/>
    <w:rsid w:val="600B9BEF"/>
    <w:rsid w:val="615B7182"/>
    <w:rsid w:val="62612E93"/>
    <w:rsid w:val="62FCABB4"/>
    <w:rsid w:val="6351FF3A"/>
    <w:rsid w:val="649881D0"/>
    <w:rsid w:val="65739D4D"/>
    <w:rsid w:val="68158524"/>
    <w:rsid w:val="695AC149"/>
    <w:rsid w:val="69F8AFC4"/>
    <w:rsid w:val="6AC5A748"/>
    <w:rsid w:val="6D9C5FC2"/>
    <w:rsid w:val="6F49D40F"/>
    <w:rsid w:val="70F7B78F"/>
    <w:rsid w:val="71DC6E66"/>
    <w:rsid w:val="728A2A94"/>
    <w:rsid w:val="72DA219D"/>
    <w:rsid w:val="73020482"/>
    <w:rsid w:val="74EA0527"/>
    <w:rsid w:val="76CAD43F"/>
    <w:rsid w:val="773E1228"/>
    <w:rsid w:val="782F181A"/>
    <w:rsid w:val="7923CF9D"/>
    <w:rsid w:val="7E362C32"/>
    <w:rsid w:val="7E7540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10716"/>
  <w15:chartTrackingRefBased/>
  <w15:docId w15:val="{F0719933-C703-4158-B349-60067A378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42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
    <w:next w:val="Normal"/>
    <w:link w:val="Heading1Char"/>
    <w:qFormat/>
    <w:rsid w:val="00FE342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B858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E342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E3423"/>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FE3423"/>
    <w:rPr>
      <w:rFonts w:ascii="Arial" w:eastAsia="Times New Roman" w:hAnsi="Arial" w:cs="Times New Roman"/>
      <w:sz w:val="36"/>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E3423"/>
    <w:rPr>
      <w:rFonts w:ascii="Arial" w:eastAsia="Times New Roman" w:hAnsi="Arial" w:cs="Times New Roman"/>
      <w:sz w:val="24"/>
      <w:szCs w:val="20"/>
      <w:lang w:val="en-GB"/>
    </w:rPr>
  </w:style>
  <w:style w:type="paragraph" w:styleId="Footer">
    <w:name w:val="footer"/>
    <w:basedOn w:val="Header"/>
    <w:link w:val="FooterChar"/>
    <w:uiPriority w:val="99"/>
    <w:qFormat/>
    <w:rsid w:val="00FE3423"/>
    <w:pPr>
      <w:widowControl w:val="0"/>
      <w:tabs>
        <w:tab w:val="clear" w:pos="4680"/>
        <w:tab w:val="clear" w:pos="9360"/>
      </w:tabs>
      <w:overflowPunct w:val="0"/>
      <w:autoSpaceDE w:val="0"/>
      <w:autoSpaceDN w:val="0"/>
      <w:adjustRightInd w:val="0"/>
      <w:jc w:val="center"/>
      <w:textAlignment w:val="baseline"/>
    </w:pPr>
    <w:rPr>
      <w:rFonts w:ascii="Arial" w:hAnsi="Arial"/>
      <w:b/>
      <w:i/>
      <w:sz w:val="18"/>
      <w:lang w:eastAsia="ja-JP"/>
    </w:rPr>
  </w:style>
  <w:style w:type="character" w:customStyle="1" w:styleId="FooterChar">
    <w:name w:val="Footer Char"/>
    <w:basedOn w:val="DefaultParagraphFont"/>
    <w:link w:val="Footer"/>
    <w:uiPriority w:val="99"/>
    <w:qFormat/>
    <w:rsid w:val="00FE3423"/>
    <w:rPr>
      <w:rFonts w:ascii="Arial" w:eastAsia="Times New Roman" w:hAnsi="Arial" w:cs="Times New Roman"/>
      <w:b/>
      <w:i/>
      <w:sz w:val="18"/>
      <w:szCs w:val="20"/>
      <w:lang w:val="en-GB" w:eastAsia="ja-JP"/>
    </w:rPr>
  </w:style>
  <w:style w:type="paragraph" w:customStyle="1" w:styleId="CRCoverPage">
    <w:name w:val="CR Cover Page"/>
    <w:link w:val="CRCoverPageZchn"/>
    <w:qFormat/>
    <w:rsid w:val="00FE3423"/>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qFormat/>
    <w:rsid w:val="00FE3423"/>
    <w:rPr>
      <w:rFonts w:ascii="Arial" w:eastAsia="MS Mincho" w:hAnsi="Arial" w:cs="Times New Roman"/>
      <w:sz w:val="20"/>
      <w:szCs w:val="20"/>
      <w:lang w:val="en-GB"/>
    </w:rPr>
  </w:style>
  <w:style w:type="character" w:customStyle="1" w:styleId="a">
    <w:name w:val="首标题"/>
    <w:rsid w:val="00FE3423"/>
    <w:rPr>
      <w:rFonts w:ascii="Arial" w:eastAsia="SimSun" w:hAnsi="Arial"/>
      <w:sz w:val="24"/>
      <w:lang w:val="en-US" w:eastAsia="zh-CN" w:bidi="ar-SA"/>
    </w:rPr>
  </w:style>
  <w:style w:type="character" w:customStyle="1" w:styleId="TAHChar">
    <w:name w:val="TAH Char"/>
    <w:link w:val="TAH"/>
    <w:qFormat/>
    <w:locked/>
    <w:rsid w:val="00FE3423"/>
    <w:rPr>
      <w:rFonts w:ascii="Arial" w:eastAsia="Times New Roman" w:hAnsi="Arial" w:cs="Arial"/>
      <w:b/>
      <w:sz w:val="18"/>
      <w:lang w:val="en-GB"/>
    </w:rPr>
  </w:style>
  <w:style w:type="paragraph" w:customStyle="1" w:styleId="TAH">
    <w:name w:val="TAH"/>
    <w:basedOn w:val="Normal"/>
    <w:link w:val="TAHChar"/>
    <w:qFormat/>
    <w:rsid w:val="00FE3423"/>
    <w:pPr>
      <w:keepNext/>
      <w:keepLines/>
      <w:spacing w:after="0"/>
      <w:jc w:val="center"/>
    </w:pPr>
    <w:rPr>
      <w:rFonts w:ascii="Arial" w:hAnsi="Arial" w:cs="Arial"/>
      <w:b/>
      <w:sz w:val="18"/>
      <w:szCs w:val="22"/>
    </w:rPr>
  </w:style>
  <w:style w:type="character" w:customStyle="1" w:styleId="TALChar">
    <w:name w:val="TAL Char"/>
    <w:link w:val="TAL"/>
    <w:qFormat/>
    <w:locked/>
    <w:rsid w:val="00FE3423"/>
    <w:rPr>
      <w:rFonts w:ascii="Arial" w:eastAsia="Times New Roman" w:hAnsi="Arial" w:cs="Arial"/>
      <w:sz w:val="18"/>
      <w:lang w:val="en-GB"/>
    </w:rPr>
  </w:style>
  <w:style w:type="paragraph" w:customStyle="1" w:styleId="TAL">
    <w:name w:val="TAL"/>
    <w:basedOn w:val="Normal"/>
    <w:link w:val="TALChar"/>
    <w:qFormat/>
    <w:rsid w:val="00FE3423"/>
    <w:pPr>
      <w:keepNext/>
      <w:keepLines/>
      <w:spacing w:after="0"/>
    </w:pPr>
    <w:rPr>
      <w:rFonts w:ascii="Arial" w:hAnsi="Arial" w:cs="Arial"/>
      <w:sz w:val="18"/>
      <w:szCs w:val="22"/>
    </w:rPr>
  </w:style>
  <w:style w:type="paragraph" w:customStyle="1" w:styleId="TAC">
    <w:name w:val="TAC"/>
    <w:basedOn w:val="TAL"/>
    <w:link w:val="TACChar"/>
    <w:qFormat/>
    <w:rsid w:val="00FE3423"/>
    <w:pPr>
      <w:jc w:val="center"/>
    </w:pPr>
  </w:style>
  <w:style w:type="character" w:customStyle="1" w:styleId="TACChar">
    <w:name w:val="TAC Char"/>
    <w:link w:val="TAC"/>
    <w:qFormat/>
    <w:locked/>
    <w:rsid w:val="00FE3423"/>
    <w:rPr>
      <w:rFonts w:ascii="Arial" w:eastAsia="Times New Roman" w:hAnsi="Arial" w:cs="Arial"/>
      <w:sz w:val="18"/>
      <w:lang w:val="en-GB"/>
    </w:rPr>
  </w:style>
  <w:style w:type="character" w:customStyle="1" w:styleId="Heading3Char">
    <w:name w:val="Heading 3 Char"/>
    <w:basedOn w:val="DefaultParagraphFont"/>
    <w:link w:val="Heading3"/>
    <w:uiPriority w:val="9"/>
    <w:semiHidden/>
    <w:rsid w:val="00FE3423"/>
    <w:rPr>
      <w:rFonts w:asciiTheme="majorHAnsi" w:eastAsiaTheme="majorEastAsia" w:hAnsiTheme="majorHAnsi" w:cstheme="majorBidi"/>
      <w:color w:val="1F3763" w:themeColor="accent1" w:themeShade="7F"/>
      <w:sz w:val="24"/>
      <w:szCs w:val="24"/>
      <w:lang w:val="en-GB"/>
    </w:rPr>
  </w:style>
  <w:style w:type="paragraph" w:styleId="Header">
    <w:name w:val="header"/>
    <w:basedOn w:val="Normal"/>
    <w:link w:val="HeaderChar"/>
    <w:uiPriority w:val="99"/>
    <w:semiHidden/>
    <w:unhideWhenUsed/>
    <w:rsid w:val="00FE3423"/>
    <w:pPr>
      <w:tabs>
        <w:tab w:val="center" w:pos="4680"/>
        <w:tab w:val="right" w:pos="9360"/>
      </w:tabs>
      <w:spacing w:after="0"/>
    </w:pPr>
  </w:style>
  <w:style w:type="character" w:customStyle="1" w:styleId="HeaderChar">
    <w:name w:val="Header Char"/>
    <w:basedOn w:val="DefaultParagraphFont"/>
    <w:link w:val="Header"/>
    <w:uiPriority w:val="99"/>
    <w:semiHidden/>
    <w:rsid w:val="00FE3423"/>
    <w:rPr>
      <w:rFonts w:ascii="Times New Roman" w:eastAsia="Times New Roman" w:hAnsi="Times New Roman" w:cs="Times New Roman"/>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FE3423"/>
    <w:pPr>
      <w:ind w:left="720"/>
      <w:contextualSpacing/>
    </w:pPr>
  </w:style>
  <w:style w:type="character" w:customStyle="1" w:styleId="Heading2Char">
    <w:name w:val="Heading 2 Char"/>
    <w:basedOn w:val="DefaultParagraphFont"/>
    <w:link w:val="Heading2"/>
    <w:uiPriority w:val="9"/>
    <w:rsid w:val="00B85846"/>
    <w:rPr>
      <w:rFonts w:asciiTheme="majorHAnsi" w:eastAsiaTheme="majorEastAsia" w:hAnsiTheme="majorHAnsi" w:cstheme="majorBidi"/>
      <w:color w:val="2F5496" w:themeColor="accent1" w:themeShade="BF"/>
      <w:sz w:val="26"/>
      <w:szCs w:val="26"/>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B85846"/>
    <w:rPr>
      <w:rFonts w:ascii="Times New Roman" w:eastAsia="Times New Roman" w:hAnsi="Times New Roman" w:cs="Times New Roman"/>
      <w:sz w:val="20"/>
      <w:szCs w:val="20"/>
      <w:lang w:val="en-GB"/>
    </w:rPr>
  </w:style>
  <w:style w:type="paragraph" w:styleId="CommentText">
    <w:name w:val="annotation text"/>
    <w:basedOn w:val="Normal"/>
    <w:link w:val="CommentTextChar"/>
    <w:uiPriority w:val="99"/>
    <w:semiHidden/>
    <w:unhideWhenUsed/>
    <w:rsid w:val="007141D5"/>
  </w:style>
  <w:style w:type="character" w:customStyle="1" w:styleId="CommentTextChar">
    <w:name w:val="Comment Text Char"/>
    <w:basedOn w:val="DefaultParagraphFont"/>
    <w:link w:val="CommentText"/>
    <w:uiPriority w:val="99"/>
    <w:semiHidden/>
    <w:rsid w:val="007141D5"/>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141D5"/>
    <w:rPr>
      <w:sz w:val="16"/>
      <w:szCs w:val="16"/>
    </w:rPr>
  </w:style>
  <w:style w:type="table" w:styleId="TableGrid">
    <w:name w:val="Table Grid"/>
    <w:basedOn w:val="TableNormal"/>
    <w:uiPriority w:val="59"/>
    <w:rsid w:val="008562C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Subject">
    <w:name w:val="annotation subject"/>
    <w:basedOn w:val="CommentText"/>
    <w:next w:val="CommentText"/>
    <w:link w:val="CommentSubjectChar"/>
    <w:uiPriority w:val="99"/>
    <w:semiHidden/>
    <w:unhideWhenUsed/>
    <w:rsid w:val="00880D6A"/>
    <w:rPr>
      <w:b/>
      <w:bCs/>
    </w:rPr>
  </w:style>
  <w:style w:type="character" w:customStyle="1" w:styleId="CommentSubjectChar">
    <w:name w:val="Comment Subject Char"/>
    <w:basedOn w:val="CommentTextChar"/>
    <w:link w:val="CommentSubject"/>
    <w:uiPriority w:val="99"/>
    <w:semiHidden/>
    <w:rsid w:val="00880D6A"/>
    <w:rPr>
      <w:rFonts w:ascii="Times New Roman" w:eastAsia="Times New Roman" w:hAnsi="Times New Roman" w:cs="Times New Roman"/>
      <w:b/>
      <w:bCs/>
      <w:sz w:val="20"/>
      <w:szCs w:val="20"/>
      <w:lang w:val="en-GB"/>
    </w:rPr>
  </w:style>
  <w:style w:type="character" w:customStyle="1" w:styleId="B1Char">
    <w:name w:val="B1 Char"/>
    <w:link w:val="B1"/>
    <w:qFormat/>
    <w:locked/>
    <w:rsid w:val="006D70FB"/>
    <w:rPr>
      <w:rFonts w:ascii="Times New Roman" w:eastAsia="Times New Roman" w:hAnsi="Times New Roman" w:cs="Times New Roman"/>
    </w:rPr>
  </w:style>
  <w:style w:type="paragraph" w:customStyle="1" w:styleId="B1">
    <w:name w:val="B1"/>
    <w:basedOn w:val="List"/>
    <w:link w:val="B1Char"/>
    <w:rsid w:val="006D70FB"/>
    <w:pPr>
      <w:overflowPunct w:val="0"/>
      <w:autoSpaceDE w:val="0"/>
      <w:autoSpaceDN w:val="0"/>
      <w:adjustRightInd w:val="0"/>
      <w:ind w:left="568" w:hanging="284"/>
      <w:contextualSpacing w:val="0"/>
    </w:pPr>
    <w:rPr>
      <w:sz w:val="22"/>
      <w:szCs w:val="22"/>
      <w:lang w:val="en-US"/>
    </w:rPr>
  </w:style>
  <w:style w:type="paragraph" w:styleId="List">
    <w:name w:val="List"/>
    <w:basedOn w:val="Normal"/>
    <w:uiPriority w:val="99"/>
    <w:semiHidden/>
    <w:unhideWhenUsed/>
    <w:rsid w:val="006D70FB"/>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9443">
      <w:bodyDiv w:val="1"/>
      <w:marLeft w:val="0"/>
      <w:marRight w:val="0"/>
      <w:marTop w:val="0"/>
      <w:marBottom w:val="0"/>
      <w:divBdr>
        <w:top w:val="none" w:sz="0" w:space="0" w:color="auto"/>
        <w:left w:val="none" w:sz="0" w:space="0" w:color="auto"/>
        <w:bottom w:val="none" w:sz="0" w:space="0" w:color="auto"/>
        <w:right w:val="none" w:sz="0" w:space="0" w:color="auto"/>
      </w:divBdr>
    </w:div>
    <w:div w:id="148790464">
      <w:bodyDiv w:val="1"/>
      <w:marLeft w:val="0"/>
      <w:marRight w:val="0"/>
      <w:marTop w:val="0"/>
      <w:marBottom w:val="0"/>
      <w:divBdr>
        <w:top w:val="none" w:sz="0" w:space="0" w:color="auto"/>
        <w:left w:val="none" w:sz="0" w:space="0" w:color="auto"/>
        <w:bottom w:val="none" w:sz="0" w:space="0" w:color="auto"/>
        <w:right w:val="none" w:sz="0" w:space="0" w:color="auto"/>
      </w:divBdr>
    </w:div>
    <w:div w:id="416486233">
      <w:bodyDiv w:val="1"/>
      <w:marLeft w:val="0"/>
      <w:marRight w:val="0"/>
      <w:marTop w:val="0"/>
      <w:marBottom w:val="0"/>
      <w:divBdr>
        <w:top w:val="none" w:sz="0" w:space="0" w:color="auto"/>
        <w:left w:val="none" w:sz="0" w:space="0" w:color="auto"/>
        <w:bottom w:val="none" w:sz="0" w:space="0" w:color="auto"/>
        <w:right w:val="none" w:sz="0" w:space="0" w:color="auto"/>
      </w:divBdr>
    </w:div>
    <w:div w:id="637994525">
      <w:bodyDiv w:val="1"/>
      <w:marLeft w:val="0"/>
      <w:marRight w:val="0"/>
      <w:marTop w:val="0"/>
      <w:marBottom w:val="0"/>
      <w:divBdr>
        <w:top w:val="none" w:sz="0" w:space="0" w:color="auto"/>
        <w:left w:val="none" w:sz="0" w:space="0" w:color="auto"/>
        <w:bottom w:val="none" w:sz="0" w:space="0" w:color="auto"/>
        <w:right w:val="none" w:sz="0" w:space="0" w:color="auto"/>
      </w:divBdr>
    </w:div>
    <w:div w:id="1441878126">
      <w:bodyDiv w:val="1"/>
      <w:marLeft w:val="0"/>
      <w:marRight w:val="0"/>
      <w:marTop w:val="0"/>
      <w:marBottom w:val="0"/>
      <w:divBdr>
        <w:top w:val="none" w:sz="0" w:space="0" w:color="auto"/>
        <w:left w:val="none" w:sz="0" w:space="0" w:color="auto"/>
        <w:bottom w:val="none" w:sz="0" w:space="0" w:color="auto"/>
        <w:right w:val="none" w:sz="0" w:space="0" w:color="auto"/>
      </w:divBdr>
    </w:div>
    <w:div w:id="1718581080">
      <w:bodyDiv w:val="1"/>
      <w:marLeft w:val="0"/>
      <w:marRight w:val="0"/>
      <w:marTop w:val="0"/>
      <w:marBottom w:val="0"/>
      <w:divBdr>
        <w:top w:val="none" w:sz="0" w:space="0" w:color="auto"/>
        <w:left w:val="none" w:sz="0" w:space="0" w:color="auto"/>
        <w:bottom w:val="none" w:sz="0" w:space="0" w:color="auto"/>
        <w:right w:val="none" w:sz="0" w:space="0" w:color="auto"/>
      </w:divBdr>
    </w:div>
    <w:div w:id="1781685074">
      <w:bodyDiv w:val="1"/>
      <w:marLeft w:val="0"/>
      <w:marRight w:val="0"/>
      <w:marTop w:val="0"/>
      <w:marBottom w:val="0"/>
      <w:divBdr>
        <w:top w:val="none" w:sz="0" w:space="0" w:color="auto"/>
        <w:left w:val="none" w:sz="0" w:space="0" w:color="auto"/>
        <w:bottom w:val="none" w:sz="0" w:space="0" w:color="auto"/>
        <w:right w:val="none" w:sz="0" w:space="0" w:color="auto"/>
      </w:divBdr>
    </w:div>
    <w:div w:id="1798840570">
      <w:bodyDiv w:val="1"/>
      <w:marLeft w:val="0"/>
      <w:marRight w:val="0"/>
      <w:marTop w:val="0"/>
      <w:marBottom w:val="0"/>
      <w:divBdr>
        <w:top w:val="none" w:sz="0" w:space="0" w:color="auto"/>
        <w:left w:val="none" w:sz="0" w:space="0" w:color="auto"/>
        <w:bottom w:val="none" w:sz="0" w:space="0" w:color="auto"/>
        <w:right w:val="none" w:sz="0" w:space="0" w:color="auto"/>
      </w:divBdr>
    </w:div>
    <w:div w:id="1851867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97765-8293-4A95-93F2-59ED09C4B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1140</Words>
  <Characters>6502</Characters>
  <Application>Microsoft Office Word</Application>
  <DocSecurity>0</DocSecurity>
  <Lines>54</Lines>
  <Paragraphs>15</Paragraphs>
  <ScaleCrop>false</ScaleCrop>
  <Company>Tejas Networks Ltd.</Company>
  <LinksUpToDate>false</LinksUpToDate>
  <CharactersWithSpaces>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Godson Antony</dc:creator>
  <cp:keywords/>
  <dc:description/>
  <cp:lastModifiedBy>Sriganesh</cp:lastModifiedBy>
  <cp:revision>5</cp:revision>
  <dcterms:created xsi:type="dcterms:W3CDTF">2025-08-14T10:52:00Z</dcterms:created>
  <dcterms:modified xsi:type="dcterms:W3CDTF">2025-08-14T13:45:00Z</dcterms:modified>
</cp:coreProperties>
</file>